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7E" w:rsidRDefault="005F787E" w:rsidP="00955C42"/>
    <w:p w:rsidR="00955C42" w:rsidRPr="00BE7142" w:rsidRDefault="00955C42" w:rsidP="00C75520">
      <w:pPr>
        <w:spacing w:after="0" w:line="240" w:lineRule="auto"/>
        <w:contextualSpacing/>
        <w:jc w:val="center"/>
        <w:rPr>
          <w:b/>
          <w:sz w:val="30"/>
          <w:szCs w:val="24"/>
        </w:rPr>
      </w:pPr>
      <w:bookmarkStart w:id="0" w:name="_GoBack"/>
      <w:r w:rsidRPr="00C75520">
        <w:rPr>
          <w:b/>
          <w:sz w:val="34"/>
          <w:szCs w:val="24"/>
        </w:rPr>
        <w:t>Does Risk Management Capability Impact on Bank Stock Returns</w:t>
      </w:r>
      <w:proofErr w:type="gramStart"/>
      <w:r w:rsidRPr="00C75520">
        <w:rPr>
          <w:b/>
          <w:sz w:val="34"/>
          <w:szCs w:val="24"/>
        </w:rPr>
        <w:t>?:</w:t>
      </w:r>
      <w:proofErr w:type="gramEnd"/>
      <w:r w:rsidRPr="00C75520">
        <w:rPr>
          <w:b/>
          <w:sz w:val="34"/>
          <w:szCs w:val="24"/>
        </w:rPr>
        <w:t xml:space="preserve"> Evidence from Listed Commercial Banks in Sri Lanka</w:t>
      </w:r>
    </w:p>
    <w:p w:rsidR="00955C42" w:rsidRDefault="00955C42" w:rsidP="00955C42">
      <w:pPr>
        <w:spacing w:after="0" w:line="240" w:lineRule="auto"/>
        <w:contextualSpacing/>
        <w:jc w:val="center"/>
        <w:rPr>
          <w:b/>
          <w:sz w:val="24"/>
          <w:szCs w:val="24"/>
        </w:rPr>
      </w:pPr>
    </w:p>
    <w:p w:rsidR="00955C42" w:rsidRDefault="00955C42" w:rsidP="00955C42">
      <w:pPr>
        <w:spacing w:after="0" w:line="240" w:lineRule="auto"/>
        <w:contextualSpacing/>
        <w:jc w:val="center"/>
        <w:rPr>
          <w:b/>
          <w:sz w:val="24"/>
          <w:szCs w:val="24"/>
        </w:rPr>
      </w:pPr>
    </w:p>
    <w:p w:rsidR="00955C42" w:rsidRPr="00BE7142" w:rsidRDefault="00955C42" w:rsidP="00955C42">
      <w:pPr>
        <w:spacing w:after="0" w:line="240" w:lineRule="auto"/>
        <w:contextualSpacing/>
        <w:jc w:val="center"/>
        <w:rPr>
          <w:b/>
          <w:sz w:val="24"/>
          <w:szCs w:val="24"/>
          <w:vertAlign w:val="superscript"/>
        </w:rPr>
      </w:pPr>
      <w:proofErr w:type="spellStart"/>
      <w:r w:rsidRPr="00BE7142">
        <w:rPr>
          <w:b/>
          <w:sz w:val="24"/>
          <w:szCs w:val="24"/>
        </w:rPr>
        <w:t>Pathirana</w:t>
      </w:r>
      <w:proofErr w:type="spellEnd"/>
      <w:r w:rsidRPr="00BE7142">
        <w:rPr>
          <w:b/>
          <w:sz w:val="24"/>
          <w:szCs w:val="24"/>
        </w:rPr>
        <w:t xml:space="preserve"> R.P.U.S.</w:t>
      </w:r>
      <w:r w:rsidRPr="00BE7142">
        <w:rPr>
          <w:b/>
          <w:sz w:val="24"/>
          <w:szCs w:val="24"/>
          <w:vertAlign w:val="superscript"/>
        </w:rPr>
        <w:t>1</w:t>
      </w:r>
    </w:p>
    <w:p w:rsidR="00955C42" w:rsidRPr="00BE7142" w:rsidRDefault="00955C42" w:rsidP="00955C42">
      <w:pPr>
        <w:spacing w:after="0" w:line="240" w:lineRule="auto"/>
        <w:contextualSpacing/>
        <w:jc w:val="center"/>
        <w:rPr>
          <w:b/>
          <w:sz w:val="24"/>
          <w:szCs w:val="24"/>
          <w:vertAlign w:val="superscript"/>
        </w:rPr>
      </w:pPr>
      <w:proofErr w:type="spellStart"/>
      <w:r w:rsidRPr="00BE7142">
        <w:rPr>
          <w:b/>
          <w:sz w:val="24"/>
          <w:szCs w:val="24"/>
        </w:rPr>
        <w:t>Dassanayake</w:t>
      </w:r>
      <w:proofErr w:type="spellEnd"/>
      <w:r w:rsidRPr="00BE7142">
        <w:rPr>
          <w:b/>
          <w:sz w:val="24"/>
          <w:szCs w:val="24"/>
        </w:rPr>
        <w:t xml:space="preserve"> D.M.S.</w:t>
      </w:r>
      <w:r w:rsidRPr="00BE7142">
        <w:rPr>
          <w:b/>
          <w:sz w:val="24"/>
          <w:szCs w:val="24"/>
          <w:vertAlign w:val="superscript"/>
        </w:rPr>
        <w:t>2</w:t>
      </w:r>
    </w:p>
    <w:p w:rsidR="00955C42" w:rsidRPr="00BE7142" w:rsidRDefault="00955C42" w:rsidP="00955C42">
      <w:pPr>
        <w:spacing w:after="0" w:line="240" w:lineRule="auto"/>
        <w:contextualSpacing/>
        <w:jc w:val="center"/>
        <w:rPr>
          <w:b/>
          <w:sz w:val="24"/>
          <w:szCs w:val="24"/>
        </w:rPr>
      </w:pPr>
      <w:r w:rsidRPr="00BE7142">
        <w:rPr>
          <w:b/>
          <w:sz w:val="24"/>
          <w:szCs w:val="24"/>
          <w:vertAlign w:val="superscript"/>
        </w:rPr>
        <w:t>1</w:t>
      </w:r>
      <w:r w:rsidRPr="00BE7142">
        <w:rPr>
          <w:b/>
          <w:sz w:val="24"/>
          <w:szCs w:val="24"/>
        </w:rPr>
        <w:t xml:space="preserve"> Department of Finance, Faculty of Management and Finance, University of Colombo</w:t>
      </w:r>
    </w:p>
    <w:p w:rsidR="00955C42" w:rsidRPr="0036354B" w:rsidRDefault="00955C42" w:rsidP="00955C42">
      <w:pPr>
        <w:spacing w:after="0" w:line="240" w:lineRule="auto"/>
        <w:contextualSpacing/>
        <w:jc w:val="center"/>
        <w:rPr>
          <w:sz w:val="24"/>
          <w:szCs w:val="24"/>
        </w:rPr>
      </w:pPr>
      <w:r w:rsidRPr="00BE7142">
        <w:rPr>
          <w:b/>
          <w:sz w:val="24"/>
          <w:szCs w:val="24"/>
          <w:vertAlign w:val="superscript"/>
        </w:rPr>
        <w:t>2</w:t>
      </w:r>
      <w:r w:rsidRPr="00BE7142">
        <w:rPr>
          <w:b/>
          <w:sz w:val="24"/>
          <w:szCs w:val="24"/>
        </w:rPr>
        <w:t xml:space="preserve"> Corresponding author –dms@dfn.cmb.ac.</w:t>
      </w:r>
      <w:r w:rsidRPr="0036354B">
        <w:rPr>
          <w:sz w:val="24"/>
          <w:szCs w:val="24"/>
        </w:rPr>
        <w:t>lk</w:t>
      </w:r>
    </w:p>
    <w:p w:rsidR="00955C42" w:rsidRPr="0036354B" w:rsidRDefault="00955C42" w:rsidP="00955C42">
      <w:pPr>
        <w:spacing w:after="0" w:line="240" w:lineRule="auto"/>
        <w:contextualSpacing/>
        <w:rPr>
          <w:sz w:val="24"/>
          <w:szCs w:val="24"/>
        </w:rPr>
      </w:pPr>
    </w:p>
    <w:p w:rsidR="00955C42" w:rsidRPr="0036354B" w:rsidRDefault="00955C42" w:rsidP="00955C42">
      <w:pPr>
        <w:spacing w:after="0" w:line="240" w:lineRule="auto"/>
        <w:contextualSpacing/>
        <w:jc w:val="left"/>
        <w:rPr>
          <w:b/>
          <w:sz w:val="24"/>
          <w:szCs w:val="24"/>
        </w:rPr>
      </w:pPr>
      <w:r w:rsidRPr="0036354B">
        <w:rPr>
          <w:b/>
          <w:sz w:val="24"/>
          <w:szCs w:val="24"/>
        </w:rPr>
        <w:t>Abstract</w:t>
      </w:r>
    </w:p>
    <w:p w:rsidR="00955C42" w:rsidRPr="0036354B" w:rsidRDefault="00955C42" w:rsidP="00955C42">
      <w:pPr>
        <w:spacing w:after="0" w:line="240" w:lineRule="auto"/>
        <w:rPr>
          <w:color w:val="000000"/>
          <w:sz w:val="24"/>
          <w:szCs w:val="24"/>
        </w:rPr>
      </w:pPr>
      <w:r w:rsidRPr="0036354B">
        <w:rPr>
          <w:sz w:val="24"/>
          <w:szCs w:val="24"/>
        </w:rPr>
        <w:t xml:space="preserve">Risk management practices of financial institutions play a significant role in financial stability and thereby strengthen the confidence of stakeholders.  The purpose of this study is to examine the impact of banks' risk management capabilities on stock returns. Four basic risk management capability measures are used for this purpose. </w:t>
      </w:r>
      <w:proofErr w:type="gramStart"/>
      <w:r w:rsidRPr="0036354B">
        <w:rPr>
          <w:sz w:val="24"/>
          <w:szCs w:val="24"/>
        </w:rPr>
        <w:t>The data from the financial reports of eight listed commercial banks for the period from 2006 to 2018are used for the analysis.</w:t>
      </w:r>
      <w:proofErr w:type="gramEnd"/>
      <w:r w:rsidRPr="0036354B">
        <w:rPr>
          <w:sz w:val="24"/>
          <w:szCs w:val="24"/>
        </w:rPr>
        <w:t xml:space="preserve"> The Du Pont analysis of ROE calculation is used to identify four risk management variables such as interest rate risk management, bank income diversification, credit risk management, and solvency risk management. The standard market model is estimated using two different regressions as regression 01 and regression 02 to capture the impact of firm size (control variable) on the whole model. The findings of regression 01 and regression 02 reveal that market return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mt</m:t>
            </m:r>
          </m:sub>
        </m:sSub>
        <m:r>
          <w:rPr>
            <w:rFonts w:ascii="Cambria Math" w:hAnsi="Cambria Math"/>
            <w:sz w:val="24"/>
            <w:szCs w:val="24"/>
          </w:rPr>
          <m:t>)</m:t>
        </m:r>
      </m:oMath>
      <w:r w:rsidRPr="0036354B">
        <w:rPr>
          <w:rFonts w:eastAsiaTheme="minorEastAsia"/>
          <w:sz w:val="24"/>
          <w:szCs w:val="24"/>
        </w:rPr>
        <w:t xml:space="preserve">and income diversification (NNIM) are significant to predict bank stock returns. However, Interest rate risk management capability (NETIM) credit risk management </w:t>
      </w:r>
      <w:proofErr w:type="gramStart"/>
      <w:r w:rsidRPr="0036354B">
        <w:rPr>
          <w:rFonts w:eastAsiaTheme="minorEastAsia"/>
          <w:sz w:val="24"/>
          <w:szCs w:val="24"/>
        </w:rPr>
        <w:t>capability (PROV), solvency risk management capability are</w:t>
      </w:r>
      <w:proofErr w:type="gramEnd"/>
      <w:r w:rsidRPr="0036354B">
        <w:rPr>
          <w:rFonts w:eastAsiaTheme="minorEastAsia"/>
          <w:sz w:val="24"/>
          <w:szCs w:val="24"/>
        </w:rPr>
        <w:t xml:space="preserve"> insignificant variables under both models. The impact of firm size on the whole model is also insignificant and there is an insignificant positive relationship between bank stock returns and firm size (TA). Therefore,</w:t>
      </w:r>
      <w:r w:rsidRPr="0036354B">
        <w:rPr>
          <w:color w:val="000000"/>
          <w:sz w:val="24"/>
          <w:szCs w:val="24"/>
        </w:rPr>
        <w:t xml:space="preserve"> Bank managers can employ effective strategies to increase non-interest income hence it contributes to generate a higher return for the shareholders. Therefore, the study suggests shareholders purchase the stocks of banks which have increased non-interest income and to aware of the market index changes to increase their returns.</w:t>
      </w:r>
    </w:p>
    <w:p w:rsidR="00955C42" w:rsidRDefault="00955C42" w:rsidP="00955C42">
      <w:pPr>
        <w:spacing w:after="0" w:line="240" w:lineRule="auto"/>
        <w:rPr>
          <w:b/>
          <w:i/>
          <w:sz w:val="24"/>
          <w:szCs w:val="24"/>
        </w:rPr>
      </w:pPr>
    </w:p>
    <w:p w:rsidR="00955C42" w:rsidRPr="0036354B" w:rsidRDefault="00955C42" w:rsidP="00955C42">
      <w:pPr>
        <w:spacing w:after="0" w:line="240" w:lineRule="auto"/>
        <w:rPr>
          <w:sz w:val="24"/>
          <w:szCs w:val="24"/>
        </w:rPr>
      </w:pPr>
      <w:r w:rsidRPr="00DC44EA">
        <w:rPr>
          <w:b/>
          <w:sz w:val="24"/>
          <w:szCs w:val="24"/>
        </w:rPr>
        <w:t>Keywords</w:t>
      </w:r>
      <w:r w:rsidRPr="0036354B">
        <w:rPr>
          <w:b/>
          <w:i/>
          <w:sz w:val="24"/>
          <w:szCs w:val="24"/>
        </w:rPr>
        <w:t>:</w:t>
      </w:r>
      <w:r w:rsidRPr="0036354B">
        <w:rPr>
          <w:sz w:val="24"/>
          <w:szCs w:val="24"/>
        </w:rPr>
        <w:t xml:space="preserve"> Risk management capability; Bank income diversification; Stock returns</w:t>
      </w:r>
    </w:p>
    <w:p w:rsidR="00955C42" w:rsidRPr="0036354B" w:rsidRDefault="00955C42" w:rsidP="00955C42">
      <w:pPr>
        <w:spacing w:after="0" w:line="240" w:lineRule="auto"/>
        <w:rPr>
          <w:sz w:val="24"/>
          <w:szCs w:val="24"/>
        </w:rPr>
      </w:pPr>
    </w:p>
    <w:p w:rsidR="00955C42" w:rsidRPr="0036354B" w:rsidRDefault="00955C42" w:rsidP="00955C42">
      <w:pPr>
        <w:spacing w:after="0" w:line="240" w:lineRule="auto"/>
        <w:jc w:val="left"/>
        <w:rPr>
          <w:b/>
          <w:sz w:val="24"/>
          <w:szCs w:val="24"/>
        </w:rPr>
      </w:pPr>
      <w:r w:rsidRPr="0036354B">
        <w:rPr>
          <w:b/>
          <w:sz w:val="24"/>
          <w:szCs w:val="24"/>
        </w:rPr>
        <w:t>1. Background of the Study</w:t>
      </w:r>
    </w:p>
    <w:p w:rsidR="00955C42" w:rsidRPr="0036354B" w:rsidRDefault="00955C42" w:rsidP="00955C42">
      <w:pPr>
        <w:spacing w:after="0" w:line="240" w:lineRule="auto"/>
        <w:rPr>
          <w:sz w:val="24"/>
          <w:szCs w:val="24"/>
        </w:rPr>
      </w:pPr>
      <w:r w:rsidRPr="0036354B">
        <w:rPr>
          <w:sz w:val="24"/>
          <w:szCs w:val="24"/>
        </w:rPr>
        <w:t>Financial institutions are very important in any economy and their role similar to that of blood arteries in the human body because financial institutions pump financial resources for economic growth from depositors to where they required (</w:t>
      </w:r>
      <w:proofErr w:type="spellStart"/>
      <w:r w:rsidRPr="0036354B">
        <w:rPr>
          <w:sz w:val="24"/>
          <w:szCs w:val="24"/>
        </w:rPr>
        <w:t>Shamugan</w:t>
      </w:r>
      <w:proofErr w:type="spellEnd"/>
      <w:r w:rsidRPr="0036354B">
        <w:rPr>
          <w:sz w:val="24"/>
          <w:szCs w:val="24"/>
        </w:rPr>
        <w:t>&amp; Bourke, 1990). As financial intermediaries, banks are the center of a country’s financial system especially in countries where capital markets are underdeveloped (Cong et al., 2013) and play an important role in the economic development of the country as a whole (Levine, 2005). The foundation of a sound economy depends on how sound the Banking sector is and vice versa. Therefore the safeness and soundness of the financial system are crucial to the economic health of a country.</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In general, the banking business is regarded as a risky business. In the economy, there are two economic units, surplus units, and deficit units. These economic units prefer to use financial institutions as intermediaries to transfer the necessary funds to each other. As a result, financial intermediaries are vital to accept the deposits from surplus units under shorter maturities and issue loans under longer maturities. Even though this process is very important in the economy it poses some risks to these intermediaries since they involve maturity intermediation. Banks as an intermediary between surplus units and deficit units face different risks inherent to </w:t>
      </w:r>
      <w:proofErr w:type="spellStart"/>
      <w:r w:rsidRPr="0036354B">
        <w:rPr>
          <w:sz w:val="24"/>
          <w:szCs w:val="24"/>
        </w:rPr>
        <w:t>there</w:t>
      </w:r>
      <w:proofErr w:type="spellEnd"/>
      <w:r w:rsidRPr="0036354B">
        <w:rPr>
          <w:sz w:val="24"/>
          <w:szCs w:val="24"/>
        </w:rPr>
        <w:t xml:space="preserve"> business such as credit risk, interest rate risk, solvency risk, market risk, and liquidity risk so on. They face credit risk when their customers fail to repay the loans. When banks are having insufficient liquid assets to compensate for the cash needs or withdrawals from depositors, they face liquidity risk in which they finally at a solvency risk. Banks face interest rate risk since the rate of interest is determined by the market forces where it finally impacts bank income and expenses. Therefore managing such risks is an important strategic decision in their banking business.  </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Like other banks in the world, Sri Lankan banks are also affected by both financial and non-financial risks. These risk factors affect the efficiency of banks in the provision of banking services, banks' operations and particularly banks' performance. It is therefore imperative that there are systems in place to handle their risk exposures since the bank crisis always arises from an inappropriate identification, measurement; pricing or control of risk (</w:t>
      </w:r>
      <w:proofErr w:type="spellStart"/>
      <w:r>
        <w:rPr>
          <w:sz w:val="24"/>
          <w:szCs w:val="24"/>
        </w:rPr>
        <w:t>Sironi</w:t>
      </w:r>
      <w:proofErr w:type="spellEnd"/>
      <w:r>
        <w:rPr>
          <w:sz w:val="24"/>
          <w:szCs w:val="24"/>
        </w:rPr>
        <w:t xml:space="preserve"> &amp;</w:t>
      </w:r>
      <w:proofErr w:type="spellStart"/>
      <w:r w:rsidRPr="0036354B">
        <w:rPr>
          <w:sz w:val="24"/>
          <w:szCs w:val="24"/>
        </w:rPr>
        <w:t>Resti</w:t>
      </w:r>
      <w:proofErr w:type="spellEnd"/>
      <w:r w:rsidRPr="0036354B">
        <w:rPr>
          <w:sz w:val="24"/>
          <w:szCs w:val="24"/>
        </w:rPr>
        <w:t>, 2007). A sound banking system with good performance indicators necessitates sound risk management and regulatory frameworks. However, it should be borne in mind that banks are very fragile institutions that are built on customers' trust, brand reputation and above all dangerous leverage. In case something goes wrong, banks can collapse and failure of one bank is sufficient to send shock waves right through the economy. Because taking the risk is an integral part of the banking business, it is not surprising that banks have been practicing risk management ever since there have been banks, the industry could not have survived without it (Meyer, 2000).</w:t>
      </w:r>
    </w:p>
    <w:p w:rsidR="00955C42" w:rsidRDefault="00955C42" w:rsidP="00955C42">
      <w:pPr>
        <w:spacing w:after="0" w:line="240" w:lineRule="auto"/>
        <w:rPr>
          <w:sz w:val="24"/>
          <w:szCs w:val="24"/>
        </w:rPr>
      </w:pPr>
    </w:p>
    <w:p w:rsidR="00955C42" w:rsidRDefault="00955C42" w:rsidP="00955C42">
      <w:pPr>
        <w:spacing w:after="0" w:line="240" w:lineRule="auto"/>
        <w:rPr>
          <w:sz w:val="24"/>
          <w:szCs w:val="24"/>
        </w:rPr>
      </w:pPr>
      <w:r w:rsidRPr="0036354B">
        <w:rPr>
          <w:sz w:val="24"/>
          <w:szCs w:val="24"/>
        </w:rPr>
        <w:t>The global regulators like Basel Committee on Banking Supervision and local regulators in individual countries have recognized the importance of managing risk as a major part of the financial system in the economy and the importance of the bank risk management. Therefore, the management of integrated risks in an integrated manner is essential to promote the soundness of the banking system.</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Agency theory introduced by</w:t>
      </w:r>
      <w:r>
        <w:rPr>
          <w:sz w:val="24"/>
          <w:szCs w:val="24"/>
        </w:rPr>
        <w:t xml:space="preserve"> Jensen and</w:t>
      </w:r>
      <w:r w:rsidRPr="0036354B">
        <w:rPr>
          <w:sz w:val="24"/>
          <w:szCs w:val="24"/>
        </w:rPr>
        <w:t xml:space="preserve"> </w:t>
      </w:r>
      <w:proofErr w:type="spellStart"/>
      <w:r w:rsidRPr="0036354B">
        <w:rPr>
          <w:sz w:val="24"/>
          <w:szCs w:val="24"/>
        </w:rPr>
        <w:t>Meckling</w:t>
      </w:r>
      <w:proofErr w:type="spellEnd"/>
      <w:r w:rsidRPr="0036354B">
        <w:rPr>
          <w:sz w:val="24"/>
          <w:szCs w:val="24"/>
        </w:rPr>
        <w:t xml:space="preserve"> (1976) suggests that managers should act in the best interest of shareholders by taking action that maximizes shareholder wealth because shareholders are the legal owners of the company. All traditional finance literature confirms that investors should be a rational, risk-averse individual who formally analyzes one course of action to another for maximum benefit (Hill, 2008). As a result, the investor can select the stock of a company that maximizes their wealth. Shareholders do no invest in the companies which do not address their wealth. An increase in shareholder value not only increases the confidence of existing shareholders but also attracts new investors (</w:t>
      </w:r>
      <w:proofErr w:type="spellStart"/>
      <w:r w:rsidRPr="0036354B">
        <w:rPr>
          <w:sz w:val="24"/>
          <w:szCs w:val="24"/>
        </w:rPr>
        <w:t>Arif</w:t>
      </w:r>
      <w:proofErr w:type="spellEnd"/>
      <w:r w:rsidRPr="0036354B">
        <w:rPr>
          <w:sz w:val="24"/>
          <w:szCs w:val="24"/>
        </w:rPr>
        <w:t xml:space="preserve"> &amp; </w:t>
      </w:r>
      <w:proofErr w:type="spellStart"/>
      <w:r w:rsidRPr="0036354B">
        <w:rPr>
          <w:sz w:val="24"/>
          <w:szCs w:val="24"/>
        </w:rPr>
        <w:t>Anees</w:t>
      </w:r>
      <w:proofErr w:type="spellEnd"/>
      <w:r w:rsidRPr="0036354B">
        <w:rPr>
          <w:sz w:val="24"/>
          <w:szCs w:val="24"/>
        </w:rPr>
        <w:t xml:space="preserve">, 2012). In other words, shareholder value is the sum of all strategic decisions that </w:t>
      </w:r>
      <w:r w:rsidRPr="0036354B">
        <w:rPr>
          <w:sz w:val="24"/>
          <w:szCs w:val="24"/>
        </w:rPr>
        <w:lastRenderedPageBreak/>
        <w:t xml:space="preserve">affect the firm's ability to efficiently increase the amount of free cash flow over time which can be measured by the share price movements. Risk management is also a strategic decision which affects the earning power of the firm. Accordingly, if shareholder value is affected by the risk management capability of a bank, definitely analyze the risk management capability of the banks before making investment decisions. Therefore, it is interesting to investigate whether the risk management capability of banks contributes to generating shareholder value. </w:t>
      </w:r>
    </w:p>
    <w:p w:rsidR="00955C42" w:rsidRDefault="00955C42" w:rsidP="00955C42">
      <w:pPr>
        <w:spacing w:after="0" w:line="240" w:lineRule="auto"/>
        <w:rPr>
          <w:sz w:val="24"/>
          <w:szCs w:val="24"/>
        </w:rPr>
      </w:pPr>
    </w:p>
    <w:p w:rsidR="00955C42" w:rsidRDefault="00955C42" w:rsidP="00955C42">
      <w:pPr>
        <w:spacing w:after="0" w:line="240" w:lineRule="auto"/>
        <w:rPr>
          <w:sz w:val="24"/>
          <w:szCs w:val="24"/>
        </w:rPr>
      </w:pPr>
      <w:r w:rsidRPr="0036354B">
        <w:rPr>
          <w:sz w:val="24"/>
          <w:szCs w:val="24"/>
        </w:rPr>
        <w:t xml:space="preserve">The objective of this study is to examine the impact of risk management capabilities of banks on their stock returns. Stock returns were selected as a proxy to represent shareholder value because of being a more direct and market-based measure to represent shareholder value, even though more sophisticated accounting and market-based measures have been developed. Sri Lankan listed commercial banks were selected for the study and four basic risk management capabilities of credit risk management capability, interest rate risk management capability, solvency risk management capability, and bank income diversification were identified to represent basic risk management capabilities. The standard market model was used to estimate the relationship between risk management variables and stock returns. </w:t>
      </w:r>
    </w:p>
    <w:p w:rsidR="00955C42" w:rsidRPr="0036354B" w:rsidRDefault="00955C42" w:rsidP="00955C42">
      <w:pPr>
        <w:spacing w:after="0" w:line="240" w:lineRule="auto"/>
        <w:rPr>
          <w:sz w:val="24"/>
          <w:szCs w:val="24"/>
        </w:rPr>
      </w:pPr>
    </w:p>
    <w:p w:rsidR="00955C42" w:rsidRPr="00BE7142" w:rsidRDefault="00955C42" w:rsidP="00955C42">
      <w:pPr>
        <w:spacing w:after="0" w:line="240" w:lineRule="auto"/>
        <w:jc w:val="left"/>
        <w:rPr>
          <w:b/>
          <w:sz w:val="24"/>
          <w:szCs w:val="24"/>
        </w:rPr>
      </w:pPr>
      <w:r w:rsidRPr="00BE7142">
        <w:rPr>
          <w:b/>
          <w:sz w:val="24"/>
          <w:szCs w:val="24"/>
        </w:rPr>
        <w:t>2. Literature review</w:t>
      </w:r>
    </w:p>
    <w:p w:rsidR="00955C42" w:rsidRPr="00BE7142" w:rsidRDefault="00955C42" w:rsidP="00955C42">
      <w:pPr>
        <w:spacing w:after="0" w:line="240" w:lineRule="auto"/>
        <w:rPr>
          <w:b/>
          <w:i/>
          <w:sz w:val="24"/>
          <w:szCs w:val="24"/>
        </w:rPr>
      </w:pPr>
      <w:r w:rsidRPr="00BE7142">
        <w:rPr>
          <w:b/>
          <w:i/>
          <w:sz w:val="24"/>
          <w:szCs w:val="24"/>
        </w:rPr>
        <w:t>2.1 Risk management and shareholder value</w:t>
      </w:r>
    </w:p>
    <w:p w:rsidR="00955C42" w:rsidRPr="0036354B" w:rsidRDefault="00955C42" w:rsidP="00955C42">
      <w:pPr>
        <w:spacing w:after="0" w:line="240" w:lineRule="auto"/>
        <w:rPr>
          <w:sz w:val="24"/>
          <w:szCs w:val="24"/>
        </w:rPr>
      </w:pPr>
      <w:r w:rsidRPr="0036354B">
        <w:rPr>
          <w:sz w:val="24"/>
          <w:szCs w:val="24"/>
        </w:rPr>
        <w:t xml:space="preserve">Many researchers have examined the impact of risk management on shareholder value in various industries. Fan and </w:t>
      </w:r>
      <w:proofErr w:type="spellStart"/>
      <w:r w:rsidRPr="0036354B">
        <w:rPr>
          <w:sz w:val="24"/>
          <w:szCs w:val="24"/>
        </w:rPr>
        <w:t>Shuffer</w:t>
      </w:r>
      <w:proofErr w:type="spellEnd"/>
      <w:r w:rsidRPr="0036354B">
        <w:rPr>
          <w:sz w:val="24"/>
          <w:szCs w:val="24"/>
        </w:rPr>
        <w:t xml:space="preserve"> (2004) studied the relationship between bank efficiency and risk in the US commercial banks and they concluded that credit risk and solvency risk-sensitive to profit efficiency but liquidity risk as an insignificant factor for banks' profit efficiency. Bartram (2000) found risk management at the firm level (as opposed to risk management by stock owners) means to increase firm value to shareholders in the presence of a convex corporate tax regime in corporations. Smithson</w:t>
      </w:r>
      <w:r>
        <w:rPr>
          <w:sz w:val="24"/>
          <w:szCs w:val="24"/>
        </w:rPr>
        <w:t xml:space="preserve"> </w:t>
      </w:r>
      <w:r w:rsidRPr="0036354B">
        <w:rPr>
          <w:sz w:val="24"/>
          <w:szCs w:val="24"/>
        </w:rPr>
        <w:t xml:space="preserve">and </w:t>
      </w:r>
      <w:proofErr w:type="spellStart"/>
      <w:r w:rsidRPr="0036354B">
        <w:rPr>
          <w:sz w:val="24"/>
          <w:szCs w:val="24"/>
        </w:rPr>
        <w:t>Simkins</w:t>
      </w:r>
      <w:proofErr w:type="spellEnd"/>
      <w:r w:rsidRPr="0036354B">
        <w:rPr>
          <w:sz w:val="24"/>
          <w:szCs w:val="24"/>
        </w:rPr>
        <w:t xml:space="preserve"> (2005) investigated the relationship between the use of risk management and the value of the firm concerning industrial firms and financial institutions and concluded risk management as a value-adding activity. </w:t>
      </w:r>
      <w:proofErr w:type="spellStart"/>
      <w:r w:rsidRPr="0036354B">
        <w:rPr>
          <w:sz w:val="24"/>
          <w:szCs w:val="24"/>
        </w:rPr>
        <w:t>Sensarma</w:t>
      </w:r>
      <w:proofErr w:type="spellEnd"/>
      <w:r w:rsidRPr="0036354B">
        <w:rPr>
          <w:sz w:val="24"/>
          <w:szCs w:val="24"/>
        </w:rPr>
        <w:t xml:space="preserve"> and </w:t>
      </w:r>
      <w:proofErr w:type="spellStart"/>
      <w:r w:rsidRPr="0036354B">
        <w:rPr>
          <w:sz w:val="24"/>
          <w:szCs w:val="24"/>
        </w:rPr>
        <w:t>Jayadev</w:t>
      </w:r>
      <w:proofErr w:type="spellEnd"/>
      <w:r w:rsidRPr="0036354B">
        <w:rPr>
          <w:sz w:val="24"/>
          <w:szCs w:val="24"/>
        </w:rPr>
        <w:t xml:space="preserve"> (2009) ascertained the sensitivity of Indian bank stocks to risk management and they concluded that risk management capabilities have been improving over time and returns on the banks’ stocks appear to be positively sensitive to risk management capability of banks. They have used standard Du Pont analysis of ROE calculation to derive the risk management varia</w:t>
      </w:r>
      <w:r>
        <w:rPr>
          <w:sz w:val="24"/>
          <w:szCs w:val="24"/>
        </w:rPr>
        <w:t xml:space="preserve">bles of the banks. </w:t>
      </w:r>
      <w:proofErr w:type="spellStart"/>
      <w:r>
        <w:rPr>
          <w:sz w:val="24"/>
          <w:szCs w:val="24"/>
        </w:rPr>
        <w:t>Fathi</w:t>
      </w:r>
      <w:proofErr w:type="spellEnd"/>
      <w:r>
        <w:rPr>
          <w:sz w:val="24"/>
          <w:szCs w:val="24"/>
        </w:rPr>
        <w:t xml:space="preserve">, </w:t>
      </w:r>
      <w:proofErr w:type="spellStart"/>
      <w:r>
        <w:rPr>
          <w:sz w:val="24"/>
          <w:szCs w:val="24"/>
        </w:rPr>
        <w:t>Zarei</w:t>
      </w:r>
      <w:proofErr w:type="spellEnd"/>
      <w:r>
        <w:rPr>
          <w:sz w:val="24"/>
          <w:szCs w:val="24"/>
        </w:rPr>
        <w:t xml:space="preserve">, </w:t>
      </w:r>
      <w:r w:rsidRPr="0036354B">
        <w:rPr>
          <w:sz w:val="24"/>
          <w:szCs w:val="24"/>
        </w:rPr>
        <w:t xml:space="preserve">and  </w:t>
      </w:r>
      <w:proofErr w:type="spellStart"/>
      <w:r w:rsidRPr="0036354B">
        <w:rPr>
          <w:sz w:val="24"/>
          <w:szCs w:val="24"/>
        </w:rPr>
        <w:t>Esfahani</w:t>
      </w:r>
      <w:proofErr w:type="spellEnd"/>
      <w:r w:rsidRPr="0036354B">
        <w:rPr>
          <w:sz w:val="24"/>
          <w:szCs w:val="24"/>
        </w:rPr>
        <w:t xml:space="preserve"> (2012) found that no significant correlation between credit risk and ROE but interest rate risk and diversification risk have a positive significant correlation with ROE for the banks listed in the Tehran Stock Exchange (TSE). This study used standard Du Pont analysis for the identification of independent variables (credit risk, interest rate risk and diversification risk). According to the study conducted by </w:t>
      </w:r>
      <w:proofErr w:type="spellStart"/>
      <w:r w:rsidRPr="0036354B">
        <w:rPr>
          <w:sz w:val="24"/>
          <w:szCs w:val="24"/>
        </w:rPr>
        <w:t>Babi</w:t>
      </w:r>
      <w:proofErr w:type="spellEnd"/>
      <w:r w:rsidRPr="0036354B">
        <w:rPr>
          <w:sz w:val="24"/>
          <w:szCs w:val="24"/>
        </w:rPr>
        <w:t xml:space="preserve"> (2015) proved that the credit and solvency risks had negative and significant effects on the relationship between earnings per share and stock returns, but the effect of liquidity risk on this relationship was not significant. </w:t>
      </w:r>
      <w:proofErr w:type="spellStart"/>
      <w:r w:rsidRPr="0036354B">
        <w:rPr>
          <w:sz w:val="24"/>
          <w:szCs w:val="24"/>
        </w:rPr>
        <w:t>Saeidi</w:t>
      </w:r>
      <w:proofErr w:type="spellEnd"/>
      <w:r w:rsidRPr="0036354B">
        <w:rPr>
          <w:sz w:val="24"/>
          <w:szCs w:val="24"/>
        </w:rPr>
        <w:t xml:space="preserve"> and </w:t>
      </w:r>
      <w:proofErr w:type="spellStart"/>
      <w:r w:rsidRPr="0036354B">
        <w:rPr>
          <w:sz w:val="24"/>
          <w:szCs w:val="24"/>
        </w:rPr>
        <w:t>Kamali</w:t>
      </w:r>
      <w:proofErr w:type="spellEnd"/>
      <w:r w:rsidRPr="0036354B">
        <w:rPr>
          <w:sz w:val="24"/>
          <w:szCs w:val="24"/>
        </w:rPr>
        <w:t xml:space="preserve"> (2016) investigated the relationship between stock returns and risk management of banks listed in Tehran Stock Exchange. They found a significant relationship between capital risk and sock returns contradictory to the results of </w:t>
      </w:r>
      <w:proofErr w:type="spellStart"/>
      <w:r w:rsidRPr="0036354B">
        <w:rPr>
          <w:sz w:val="24"/>
          <w:szCs w:val="24"/>
        </w:rPr>
        <w:t>Sensarma</w:t>
      </w:r>
      <w:proofErr w:type="spellEnd"/>
      <w:r w:rsidRPr="0036354B">
        <w:rPr>
          <w:sz w:val="24"/>
          <w:szCs w:val="24"/>
        </w:rPr>
        <w:t xml:space="preserve"> and </w:t>
      </w:r>
      <w:proofErr w:type="spellStart"/>
      <w:r w:rsidRPr="0036354B">
        <w:rPr>
          <w:sz w:val="24"/>
          <w:szCs w:val="24"/>
        </w:rPr>
        <w:t>Jayadev</w:t>
      </w:r>
      <w:proofErr w:type="spellEnd"/>
      <w:r w:rsidRPr="0036354B">
        <w:rPr>
          <w:sz w:val="24"/>
          <w:szCs w:val="24"/>
        </w:rPr>
        <w:t xml:space="preserve"> (2009). </w:t>
      </w:r>
      <w:r w:rsidRPr="0036354B">
        <w:rPr>
          <w:sz w:val="24"/>
          <w:szCs w:val="24"/>
        </w:rPr>
        <w:lastRenderedPageBreak/>
        <w:t xml:space="preserve">Furthermore, they concluded that credit risk management as a significant factor for stock returns and interest rate risk and natural hedging strategy as insignificance variables to the bank stock returns. </w:t>
      </w:r>
      <w:proofErr w:type="spellStart"/>
      <w:r w:rsidRPr="0036354B">
        <w:rPr>
          <w:sz w:val="24"/>
          <w:szCs w:val="24"/>
        </w:rPr>
        <w:t>Ekinci</w:t>
      </w:r>
      <w:proofErr w:type="spellEnd"/>
      <w:r w:rsidRPr="0036354B">
        <w:rPr>
          <w:sz w:val="24"/>
          <w:szCs w:val="24"/>
        </w:rPr>
        <w:t xml:space="preserve"> (2016) found that Credit risk and FX rate have a positive and significant effect, but interest rate has an insignificant effect on banking sector profitability and credit and market risk have a positive and significant effect on conditional bank stock return volatility in the Turkish banking sector.</w:t>
      </w:r>
    </w:p>
    <w:p w:rsidR="00955C42" w:rsidRPr="0036354B" w:rsidRDefault="00955C42" w:rsidP="00955C42">
      <w:pPr>
        <w:spacing w:after="0" w:line="240" w:lineRule="auto"/>
        <w:rPr>
          <w:b/>
          <w:sz w:val="24"/>
          <w:szCs w:val="24"/>
        </w:rPr>
      </w:pPr>
    </w:p>
    <w:p w:rsidR="00955C42" w:rsidRPr="00BE7142" w:rsidRDefault="00955C42" w:rsidP="00955C42">
      <w:pPr>
        <w:spacing w:after="0" w:line="240" w:lineRule="auto"/>
        <w:rPr>
          <w:b/>
          <w:i/>
          <w:sz w:val="24"/>
          <w:szCs w:val="24"/>
        </w:rPr>
      </w:pPr>
      <w:r w:rsidRPr="00BE7142">
        <w:rPr>
          <w:b/>
          <w:i/>
          <w:sz w:val="24"/>
          <w:szCs w:val="24"/>
        </w:rPr>
        <w:t>2.2 Interest rate risk and shareholder value</w:t>
      </w:r>
    </w:p>
    <w:p w:rsidR="00955C42" w:rsidRPr="0036354B" w:rsidRDefault="00955C42" w:rsidP="00955C42">
      <w:pPr>
        <w:spacing w:after="0" w:line="240" w:lineRule="auto"/>
        <w:rPr>
          <w:sz w:val="24"/>
          <w:szCs w:val="24"/>
        </w:rPr>
      </w:pPr>
      <w:r w:rsidRPr="0036354B">
        <w:rPr>
          <w:sz w:val="24"/>
          <w:szCs w:val="24"/>
        </w:rPr>
        <w:t>In broad terms, Interest rate risk is the exposure of a bank's financial condition to adverse movements in interest rates. Accepting this risk is a normal part of the banking business and can be an important source of profitability and shareholder value</w:t>
      </w:r>
      <w:r>
        <w:rPr>
          <w:sz w:val="24"/>
          <w:szCs w:val="24"/>
        </w:rPr>
        <w:t>.</w:t>
      </w:r>
      <w:r w:rsidRPr="0036354B">
        <w:rPr>
          <w:sz w:val="24"/>
          <w:szCs w:val="24"/>
        </w:rPr>
        <w:t xml:space="preserve"> In the literature, researchers have paid special attention to interest rate risk and bank performance measured and analyzed using various measures. </w:t>
      </w:r>
    </w:p>
    <w:p w:rsidR="00955C42" w:rsidRPr="0036354B" w:rsidRDefault="00955C42" w:rsidP="00955C42">
      <w:pPr>
        <w:spacing w:after="0" w:line="240" w:lineRule="auto"/>
        <w:rPr>
          <w:sz w:val="24"/>
          <w:szCs w:val="24"/>
        </w:rPr>
      </w:pPr>
      <w:r w:rsidRPr="0036354B">
        <w:rPr>
          <w:sz w:val="24"/>
          <w:szCs w:val="24"/>
        </w:rPr>
        <w:t xml:space="preserve">Lloyd and </w:t>
      </w:r>
      <w:proofErr w:type="spellStart"/>
      <w:r w:rsidRPr="0036354B">
        <w:rPr>
          <w:sz w:val="24"/>
          <w:szCs w:val="24"/>
        </w:rPr>
        <w:t>Shick</w:t>
      </w:r>
      <w:proofErr w:type="spellEnd"/>
      <w:r w:rsidRPr="0036354B">
        <w:rPr>
          <w:sz w:val="24"/>
          <w:szCs w:val="24"/>
        </w:rPr>
        <w:t xml:space="preserve"> (1977) found</w:t>
      </w:r>
      <w:r>
        <w:rPr>
          <w:sz w:val="24"/>
          <w:szCs w:val="24"/>
        </w:rPr>
        <w:t xml:space="preserve"> </w:t>
      </w:r>
      <w:r w:rsidRPr="0036354B">
        <w:rPr>
          <w:sz w:val="24"/>
          <w:szCs w:val="24"/>
        </w:rPr>
        <w:t>a significant relationship between bank stock return and interest rate risk using two index model introduced by Stone</w:t>
      </w:r>
      <w:r>
        <w:rPr>
          <w:sz w:val="24"/>
          <w:szCs w:val="24"/>
        </w:rPr>
        <w:t>.</w:t>
      </w:r>
      <w:r w:rsidRPr="0036354B">
        <w:rPr>
          <w:sz w:val="24"/>
          <w:szCs w:val="24"/>
        </w:rPr>
        <w:t xml:space="preserve"> </w:t>
      </w:r>
      <w:proofErr w:type="spellStart"/>
      <w:r w:rsidRPr="0036354B">
        <w:rPr>
          <w:sz w:val="24"/>
          <w:szCs w:val="24"/>
        </w:rPr>
        <w:t>Lynge</w:t>
      </w:r>
      <w:proofErr w:type="spellEnd"/>
      <w:r w:rsidRPr="0036354B">
        <w:rPr>
          <w:sz w:val="24"/>
          <w:szCs w:val="24"/>
        </w:rPr>
        <w:t xml:space="preserve"> and </w:t>
      </w:r>
      <w:proofErr w:type="spellStart"/>
      <w:r w:rsidRPr="0036354B">
        <w:rPr>
          <w:sz w:val="24"/>
          <w:szCs w:val="24"/>
        </w:rPr>
        <w:t>Zumwalt</w:t>
      </w:r>
      <w:proofErr w:type="spellEnd"/>
      <w:r w:rsidRPr="0036354B">
        <w:rPr>
          <w:sz w:val="24"/>
          <w:szCs w:val="24"/>
        </w:rPr>
        <w:t xml:space="preserve"> (1980) concluded that approximately 80% of banks and half of industrial companies are sensitive to interest rates but the magnitude of bank exposures is larger than for industrial companies. Flannery and James (1984) found that common stock returns of financial institutions are correlated with interest rate changes. Booth and Officer (1985) also fund that bank stocks are sensitive to actual, anticipated, and unanticipated changes in short-term interest rates. </w:t>
      </w:r>
      <w:proofErr w:type="spellStart"/>
      <w:r w:rsidRPr="0036354B">
        <w:rPr>
          <w:sz w:val="24"/>
          <w:szCs w:val="24"/>
        </w:rPr>
        <w:t>Choi</w:t>
      </w:r>
      <w:proofErr w:type="spellEnd"/>
      <w:r w:rsidRPr="0036354B">
        <w:rPr>
          <w:sz w:val="24"/>
          <w:szCs w:val="24"/>
        </w:rPr>
        <w:t xml:space="preserve">, </w:t>
      </w:r>
      <w:proofErr w:type="spellStart"/>
      <w:r w:rsidRPr="0036354B">
        <w:rPr>
          <w:sz w:val="24"/>
          <w:szCs w:val="24"/>
        </w:rPr>
        <w:t>Elyasiani</w:t>
      </w:r>
      <w:proofErr w:type="spellEnd"/>
      <w:r w:rsidRPr="0036354B">
        <w:rPr>
          <w:sz w:val="24"/>
          <w:szCs w:val="24"/>
        </w:rPr>
        <w:t xml:space="preserve">, and </w:t>
      </w:r>
      <w:proofErr w:type="spellStart"/>
      <w:r w:rsidRPr="0036354B">
        <w:rPr>
          <w:sz w:val="24"/>
          <w:szCs w:val="24"/>
        </w:rPr>
        <w:t>Kopecky</w:t>
      </w:r>
      <w:proofErr w:type="spellEnd"/>
      <w:r w:rsidRPr="0036354B">
        <w:rPr>
          <w:sz w:val="24"/>
          <w:szCs w:val="24"/>
        </w:rPr>
        <w:t xml:space="preserve"> (1992) concluded that bank equity returns were significantly negatively related to interest rates only for the post-October 1979 period in the US. According to the </w:t>
      </w:r>
      <w:proofErr w:type="spellStart"/>
      <w:r w:rsidRPr="0036354B">
        <w:rPr>
          <w:sz w:val="24"/>
          <w:szCs w:val="24"/>
        </w:rPr>
        <w:t>Elyasiani</w:t>
      </w:r>
      <w:proofErr w:type="spellEnd"/>
      <w:r w:rsidRPr="0036354B">
        <w:rPr>
          <w:sz w:val="24"/>
          <w:szCs w:val="24"/>
        </w:rPr>
        <w:t xml:space="preserve"> and Mansur (2004), short term and long-term interest rates and their volatilities do exert significant and differential impacts on the bank stock returns where short term interest rate changes negatively related and long term interest rate changes positively related to stock return changes. Using the sample of daily stock returns of UK banks Joseph and </w:t>
      </w:r>
      <w:proofErr w:type="spellStart"/>
      <w:r w:rsidRPr="0036354B">
        <w:rPr>
          <w:sz w:val="24"/>
          <w:szCs w:val="24"/>
        </w:rPr>
        <w:t>Vezos</w:t>
      </w:r>
      <w:proofErr w:type="spellEnd"/>
      <w:r w:rsidRPr="0036354B">
        <w:rPr>
          <w:sz w:val="24"/>
          <w:szCs w:val="24"/>
        </w:rPr>
        <w:t xml:space="preserve"> (2006) observed a positive relationship between interest rate risk and bank stock returns in OLS and negative coefficient in EGRACH model.  </w:t>
      </w:r>
    </w:p>
    <w:p w:rsidR="00955C42" w:rsidRPr="00212E93" w:rsidRDefault="00955C42" w:rsidP="00955C42">
      <w:pPr>
        <w:spacing w:after="0" w:line="240" w:lineRule="auto"/>
        <w:rPr>
          <w:i/>
          <w:sz w:val="24"/>
          <w:szCs w:val="24"/>
        </w:rPr>
      </w:pPr>
      <w:r w:rsidRPr="00212E93">
        <w:rPr>
          <w:i/>
          <w:sz w:val="24"/>
          <w:szCs w:val="24"/>
        </w:rPr>
        <w:t>2.3 Credit risk and shareholder value</w:t>
      </w:r>
    </w:p>
    <w:p w:rsidR="00955C42" w:rsidRDefault="00955C42" w:rsidP="00955C42">
      <w:pPr>
        <w:spacing w:after="0" w:line="240" w:lineRule="auto"/>
        <w:rPr>
          <w:sz w:val="24"/>
          <w:szCs w:val="24"/>
        </w:rPr>
      </w:pPr>
      <w:r w:rsidRPr="0036354B">
        <w:rPr>
          <w:sz w:val="24"/>
          <w:szCs w:val="24"/>
        </w:rPr>
        <w:t>Credit risk is the possibility of losses arising from the diminution in the credit quality of borrowers or counterparties and credit risk could arise from the banking book and the trading book and both on or off-balance sheet. The increasing variety in the types of counterparties and the ever-expanding variety in the forms of obligations (from auto loans to complex derivatives transactions) has meant that credit risk management has jumped to the forefront of risk management activities carried out by firms in the financial services industry (</w:t>
      </w:r>
      <w:proofErr w:type="spellStart"/>
      <w:r w:rsidRPr="0036354B">
        <w:rPr>
          <w:sz w:val="24"/>
          <w:szCs w:val="24"/>
        </w:rPr>
        <w:t>Fatemi</w:t>
      </w:r>
      <w:proofErr w:type="spellEnd"/>
      <w:r w:rsidRPr="0036354B">
        <w:rPr>
          <w:sz w:val="24"/>
          <w:szCs w:val="24"/>
        </w:rPr>
        <w:t xml:space="preserve"> &amp; </w:t>
      </w:r>
      <w:proofErr w:type="spellStart"/>
      <w:r w:rsidRPr="0036354B">
        <w:rPr>
          <w:sz w:val="24"/>
          <w:szCs w:val="24"/>
        </w:rPr>
        <w:t>Fooladi</w:t>
      </w:r>
      <w:proofErr w:type="spellEnd"/>
      <w:r w:rsidRPr="0036354B">
        <w:rPr>
          <w:sz w:val="24"/>
          <w:szCs w:val="24"/>
        </w:rPr>
        <w:t xml:space="preserve">, 2006). Therefore, credit risk played special attention to bank management to minimize possible future losses which attracted the interest of researchers for investigations. In contrast with other risks, credit risk and bank performance are considerably researched areas in Sri Lanka. </w:t>
      </w:r>
    </w:p>
    <w:p w:rsidR="00955C42" w:rsidRPr="0036354B" w:rsidRDefault="00955C42" w:rsidP="00955C42">
      <w:pPr>
        <w:spacing w:after="0" w:line="240" w:lineRule="auto"/>
        <w:rPr>
          <w:sz w:val="24"/>
          <w:szCs w:val="24"/>
        </w:rPr>
      </w:pPr>
      <w:proofErr w:type="spellStart"/>
      <w:r w:rsidRPr="0036354B">
        <w:rPr>
          <w:sz w:val="24"/>
          <w:szCs w:val="24"/>
        </w:rPr>
        <w:t>Arif</w:t>
      </w:r>
      <w:proofErr w:type="spellEnd"/>
      <w:r w:rsidRPr="0036354B">
        <w:rPr>
          <w:sz w:val="24"/>
          <w:szCs w:val="24"/>
        </w:rPr>
        <w:t xml:space="preserve">, </w:t>
      </w:r>
      <w:proofErr w:type="spellStart"/>
      <w:r w:rsidRPr="0036354B">
        <w:rPr>
          <w:sz w:val="24"/>
          <w:szCs w:val="24"/>
        </w:rPr>
        <w:t>Abrar</w:t>
      </w:r>
      <w:proofErr w:type="spellEnd"/>
      <w:r w:rsidRPr="0036354B">
        <w:rPr>
          <w:sz w:val="24"/>
          <w:szCs w:val="24"/>
        </w:rPr>
        <w:t xml:space="preserve">, </w:t>
      </w:r>
      <w:proofErr w:type="gramStart"/>
      <w:r w:rsidRPr="0036354B">
        <w:rPr>
          <w:sz w:val="24"/>
          <w:szCs w:val="24"/>
        </w:rPr>
        <w:t xml:space="preserve">and  </w:t>
      </w:r>
      <w:proofErr w:type="spellStart"/>
      <w:r w:rsidRPr="0036354B">
        <w:rPr>
          <w:sz w:val="24"/>
          <w:szCs w:val="24"/>
        </w:rPr>
        <w:t>Afzal</w:t>
      </w:r>
      <w:proofErr w:type="spellEnd"/>
      <w:proofErr w:type="gramEnd"/>
      <w:r w:rsidRPr="0036354B">
        <w:rPr>
          <w:sz w:val="24"/>
          <w:szCs w:val="24"/>
        </w:rPr>
        <w:t xml:space="preserve"> (2012) examined the role of credit risk in the value creation process in the banking system of Pakistan and the results show that LLP has a positive association with return on shares which mean the investors perceive that banks with high advances in their portfolio are more capable to generate value for them. The investigation of </w:t>
      </w:r>
      <w:proofErr w:type="spellStart"/>
      <w:r w:rsidRPr="0036354B">
        <w:rPr>
          <w:sz w:val="24"/>
          <w:szCs w:val="24"/>
        </w:rPr>
        <w:t>Aghababaei</w:t>
      </w:r>
      <w:proofErr w:type="spellEnd"/>
      <w:r w:rsidRPr="0036354B">
        <w:rPr>
          <w:sz w:val="24"/>
          <w:szCs w:val="24"/>
        </w:rPr>
        <w:t xml:space="preserve">, </w:t>
      </w:r>
      <w:proofErr w:type="spellStart"/>
      <w:r w:rsidRPr="0036354B">
        <w:rPr>
          <w:sz w:val="24"/>
          <w:szCs w:val="24"/>
        </w:rPr>
        <w:t>Ataei</w:t>
      </w:r>
      <w:proofErr w:type="spellEnd"/>
      <w:r w:rsidRPr="0036354B">
        <w:rPr>
          <w:sz w:val="24"/>
          <w:szCs w:val="24"/>
        </w:rPr>
        <w:t xml:space="preserve">, </w:t>
      </w:r>
      <w:proofErr w:type="gramStart"/>
      <w:r w:rsidRPr="0036354B">
        <w:rPr>
          <w:sz w:val="24"/>
          <w:szCs w:val="24"/>
        </w:rPr>
        <w:t xml:space="preserve">and  </w:t>
      </w:r>
      <w:proofErr w:type="spellStart"/>
      <w:r w:rsidRPr="0036354B">
        <w:rPr>
          <w:sz w:val="24"/>
          <w:szCs w:val="24"/>
        </w:rPr>
        <w:t>Azizkhani</w:t>
      </w:r>
      <w:proofErr w:type="spellEnd"/>
      <w:proofErr w:type="gramEnd"/>
      <w:r w:rsidRPr="0036354B">
        <w:rPr>
          <w:sz w:val="24"/>
          <w:szCs w:val="24"/>
        </w:rPr>
        <w:t xml:space="preserve"> (2013) in Tehran stock exchange found that Capital adequacy, the ratio of doubtful debts storage to the total loan (as credit risk variables) represent significant </w:t>
      </w:r>
      <w:r w:rsidRPr="0036354B">
        <w:rPr>
          <w:sz w:val="24"/>
          <w:szCs w:val="24"/>
        </w:rPr>
        <w:lastRenderedPageBreak/>
        <w:t xml:space="preserve">negative effect to shareholder value. Further supported by </w:t>
      </w:r>
      <w:proofErr w:type="spellStart"/>
      <w:r w:rsidRPr="0036354B">
        <w:rPr>
          <w:sz w:val="24"/>
          <w:szCs w:val="24"/>
        </w:rPr>
        <w:t>Kodithuwakku</w:t>
      </w:r>
      <w:proofErr w:type="spellEnd"/>
      <w:r w:rsidRPr="0036354B">
        <w:rPr>
          <w:sz w:val="24"/>
          <w:szCs w:val="24"/>
        </w:rPr>
        <w:t xml:space="preserve"> (2014)</w:t>
      </w:r>
      <w:proofErr w:type="gramStart"/>
      <w:r w:rsidRPr="0036354B">
        <w:rPr>
          <w:sz w:val="24"/>
          <w:szCs w:val="24"/>
        </w:rPr>
        <w:t>,non</w:t>
      </w:r>
      <w:proofErr w:type="gramEnd"/>
      <w:r w:rsidRPr="0036354B">
        <w:rPr>
          <w:sz w:val="24"/>
          <w:szCs w:val="24"/>
        </w:rPr>
        <w:t xml:space="preserve">-performing loans and provisions have an adverse impact on the profitability of Sri Lankan commercial banks. </w:t>
      </w:r>
      <w:proofErr w:type="spellStart"/>
      <w:r w:rsidRPr="0036354B">
        <w:rPr>
          <w:sz w:val="24"/>
          <w:szCs w:val="24"/>
        </w:rPr>
        <w:t>Abewardhana</w:t>
      </w:r>
      <w:proofErr w:type="spellEnd"/>
      <w:r w:rsidRPr="0036354B">
        <w:rPr>
          <w:sz w:val="24"/>
          <w:szCs w:val="24"/>
        </w:rPr>
        <w:t xml:space="preserve"> (2015) concluded that credit risk management has a significant impact on the profitability of commercial banks’ in Sri Lanka</w:t>
      </w:r>
      <w:r>
        <w:rPr>
          <w:sz w:val="24"/>
          <w:szCs w:val="24"/>
        </w:rPr>
        <w:t>.</w:t>
      </w:r>
      <w:r w:rsidRPr="0036354B">
        <w:rPr>
          <w:sz w:val="24"/>
          <w:szCs w:val="24"/>
        </w:rPr>
        <w:t xml:space="preserve"> </w:t>
      </w:r>
      <w:proofErr w:type="spellStart"/>
      <w:r w:rsidRPr="0036354B">
        <w:rPr>
          <w:sz w:val="24"/>
          <w:szCs w:val="24"/>
        </w:rPr>
        <w:t>Heydari</w:t>
      </w:r>
      <w:proofErr w:type="spellEnd"/>
      <w:r w:rsidRPr="0036354B">
        <w:rPr>
          <w:sz w:val="24"/>
          <w:szCs w:val="24"/>
        </w:rPr>
        <w:t xml:space="preserve"> and </w:t>
      </w:r>
      <w:proofErr w:type="spellStart"/>
      <w:r w:rsidRPr="0036354B">
        <w:rPr>
          <w:sz w:val="24"/>
          <w:szCs w:val="24"/>
        </w:rPr>
        <w:t>Abdoli</w:t>
      </w:r>
      <w:proofErr w:type="spellEnd"/>
      <w:r w:rsidRPr="0036354B">
        <w:rPr>
          <w:sz w:val="24"/>
          <w:szCs w:val="24"/>
        </w:rPr>
        <w:t xml:space="preserve"> (2015) realized a negative relationship of loss reserve on loans and past due credits with banks’ performance. </w:t>
      </w:r>
      <w:proofErr w:type="spellStart"/>
      <w:r w:rsidRPr="0036354B">
        <w:rPr>
          <w:sz w:val="24"/>
          <w:szCs w:val="24"/>
        </w:rPr>
        <w:t>Gunathilaka</w:t>
      </w:r>
      <w:proofErr w:type="spellEnd"/>
      <w:r w:rsidRPr="0036354B">
        <w:rPr>
          <w:sz w:val="24"/>
          <w:szCs w:val="24"/>
        </w:rPr>
        <w:t xml:space="preserve"> (2015) concluded that all the measures of credit risk management used in the study are highly significant predictors of the financial performance of finance companies in Sri Lanka. </w:t>
      </w:r>
      <w:proofErr w:type="spellStart"/>
      <w:r w:rsidRPr="0036354B">
        <w:rPr>
          <w:sz w:val="24"/>
          <w:szCs w:val="24"/>
        </w:rPr>
        <w:t>Agusman</w:t>
      </w:r>
      <w:proofErr w:type="spellEnd"/>
      <w:r w:rsidRPr="0036354B">
        <w:rPr>
          <w:sz w:val="24"/>
          <w:szCs w:val="24"/>
        </w:rPr>
        <w:t xml:space="preserve">, Monroe, </w:t>
      </w:r>
      <w:proofErr w:type="spellStart"/>
      <w:r w:rsidRPr="0036354B">
        <w:rPr>
          <w:sz w:val="24"/>
          <w:szCs w:val="24"/>
        </w:rPr>
        <w:t>Gasbarro</w:t>
      </w:r>
      <w:proofErr w:type="spellEnd"/>
      <w:r w:rsidRPr="0036354B">
        <w:rPr>
          <w:sz w:val="24"/>
          <w:szCs w:val="24"/>
        </w:rPr>
        <w:t xml:space="preserve">, and </w:t>
      </w:r>
      <w:proofErr w:type="spellStart"/>
      <w:r w:rsidRPr="0036354B">
        <w:rPr>
          <w:sz w:val="24"/>
          <w:szCs w:val="24"/>
        </w:rPr>
        <w:t>Zumwalt</w:t>
      </w:r>
      <w:proofErr w:type="spellEnd"/>
      <w:r w:rsidRPr="0036354B">
        <w:rPr>
          <w:sz w:val="24"/>
          <w:szCs w:val="24"/>
        </w:rPr>
        <w:t xml:space="preserve"> (2009) concluded that reserves-to-gross-loans ratio has a negative and significant influence on bank stock returns. Findings of </w:t>
      </w:r>
      <w:proofErr w:type="spellStart"/>
      <w:r w:rsidRPr="0036354B">
        <w:rPr>
          <w:sz w:val="24"/>
          <w:szCs w:val="24"/>
        </w:rPr>
        <w:t>Perera</w:t>
      </w:r>
      <w:proofErr w:type="spellEnd"/>
      <w:r w:rsidRPr="0036354B">
        <w:rPr>
          <w:sz w:val="24"/>
          <w:szCs w:val="24"/>
        </w:rPr>
        <w:t xml:space="preserve"> and </w:t>
      </w:r>
      <w:proofErr w:type="spellStart"/>
      <w:r w:rsidRPr="0036354B">
        <w:rPr>
          <w:sz w:val="24"/>
          <w:szCs w:val="24"/>
        </w:rPr>
        <w:t>Morawakage</w:t>
      </w:r>
      <w:proofErr w:type="spellEnd"/>
      <w:r w:rsidRPr="0036354B">
        <w:rPr>
          <w:sz w:val="24"/>
          <w:szCs w:val="24"/>
        </w:rPr>
        <w:t xml:space="preserve">, (2016) reveal that credit risk management has a significant effect on shareholder value in listed commercial banks in Sri Lanka and among the three credit risk management indicators; Non-Performing Loan Ratio (NPLR) has the most significant effect on the return on shares. </w:t>
      </w:r>
    </w:p>
    <w:p w:rsidR="00955C42" w:rsidRDefault="00955C42" w:rsidP="00955C42">
      <w:pPr>
        <w:spacing w:after="0" w:line="240" w:lineRule="auto"/>
        <w:rPr>
          <w:b/>
          <w:sz w:val="24"/>
          <w:szCs w:val="24"/>
        </w:rPr>
      </w:pPr>
    </w:p>
    <w:p w:rsidR="00955C42" w:rsidRPr="00E45D06" w:rsidRDefault="00955C42" w:rsidP="00955C42">
      <w:pPr>
        <w:spacing w:after="0" w:line="240" w:lineRule="auto"/>
        <w:rPr>
          <w:i/>
          <w:sz w:val="24"/>
          <w:szCs w:val="24"/>
        </w:rPr>
      </w:pPr>
      <w:r w:rsidRPr="00E45D06">
        <w:rPr>
          <w:i/>
          <w:sz w:val="24"/>
          <w:szCs w:val="24"/>
        </w:rPr>
        <w:t xml:space="preserve">2.4 Solvency risk and shareholder value </w:t>
      </w:r>
    </w:p>
    <w:p w:rsidR="00955C42" w:rsidRPr="0036354B" w:rsidRDefault="00955C42" w:rsidP="00955C42">
      <w:pPr>
        <w:spacing w:after="0" w:line="240" w:lineRule="auto"/>
        <w:rPr>
          <w:sz w:val="24"/>
          <w:szCs w:val="24"/>
        </w:rPr>
      </w:pPr>
      <w:r w:rsidRPr="0036354B">
        <w:rPr>
          <w:sz w:val="24"/>
          <w:szCs w:val="24"/>
        </w:rPr>
        <w:t>Solvency refers to an enterprise's capacity to meet its long-term financial commitments. Systemic banking system solvency risk is driven by the correlated defaults of many borrowers, other market risks, and inter-bank defaults (Barnhill &amp; Schumacher, 2011). Solvency risk is particularly important in the banking business since the default in repayments lead banks towards bankruptcy.</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proofErr w:type="spellStart"/>
      <w:r w:rsidRPr="0036354B">
        <w:rPr>
          <w:sz w:val="24"/>
          <w:szCs w:val="24"/>
        </w:rPr>
        <w:t>Nethra</w:t>
      </w:r>
      <w:proofErr w:type="spellEnd"/>
      <w:r w:rsidRPr="0036354B">
        <w:rPr>
          <w:sz w:val="24"/>
          <w:szCs w:val="24"/>
        </w:rPr>
        <w:t xml:space="preserve"> and </w:t>
      </w:r>
      <w:proofErr w:type="spellStart"/>
      <w:r w:rsidRPr="0036354B">
        <w:rPr>
          <w:sz w:val="24"/>
          <w:szCs w:val="24"/>
        </w:rPr>
        <w:t>Kushalappa</w:t>
      </w:r>
      <w:proofErr w:type="spellEnd"/>
      <w:r w:rsidRPr="0036354B">
        <w:rPr>
          <w:sz w:val="24"/>
          <w:szCs w:val="24"/>
        </w:rPr>
        <w:t xml:space="preserve"> (2015) assessed the impact of financial solvency on stock returns. They proved that the companies with sound financial position could perform better in the stock market than the stocks of financially weak companies.  According to the results found in the literature (for example </w:t>
      </w:r>
      <w:proofErr w:type="spellStart"/>
      <w:r w:rsidRPr="0036354B">
        <w:rPr>
          <w:sz w:val="24"/>
          <w:szCs w:val="24"/>
        </w:rPr>
        <w:t>Altunbas</w:t>
      </w:r>
      <w:proofErr w:type="spellEnd"/>
      <w:r>
        <w:rPr>
          <w:sz w:val="24"/>
          <w:szCs w:val="24"/>
        </w:rPr>
        <w:t xml:space="preserve">, Liu, </w:t>
      </w:r>
      <w:proofErr w:type="spellStart"/>
      <w:r>
        <w:rPr>
          <w:sz w:val="24"/>
          <w:szCs w:val="24"/>
        </w:rPr>
        <w:t>Molyneux</w:t>
      </w:r>
      <w:proofErr w:type="spellEnd"/>
      <w:r w:rsidRPr="0036354B">
        <w:rPr>
          <w:sz w:val="24"/>
          <w:szCs w:val="24"/>
        </w:rPr>
        <w:t xml:space="preserve">, &amp; Seth, 2000; </w:t>
      </w:r>
      <w:proofErr w:type="spellStart"/>
      <w:r w:rsidRPr="0036354B">
        <w:rPr>
          <w:sz w:val="24"/>
          <w:szCs w:val="24"/>
        </w:rPr>
        <w:t>Mester</w:t>
      </w:r>
      <w:proofErr w:type="spellEnd"/>
      <w:r w:rsidRPr="0036354B">
        <w:rPr>
          <w:sz w:val="24"/>
          <w:szCs w:val="24"/>
        </w:rPr>
        <w:t>, 1996</w:t>
      </w:r>
      <w:r>
        <w:rPr>
          <w:sz w:val="24"/>
          <w:szCs w:val="24"/>
        </w:rPr>
        <w:t>,</w:t>
      </w:r>
      <w:r w:rsidRPr="0036354B">
        <w:rPr>
          <w:sz w:val="24"/>
          <w:szCs w:val="24"/>
        </w:rPr>
        <w:t xml:space="preserve"> Zhang,</w:t>
      </w:r>
      <w:r>
        <w:rPr>
          <w:sz w:val="24"/>
          <w:szCs w:val="24"/>
        </w:rPr>
        <w:t xml:space="preserve"> Jiang, </w:t>
      </w:r>
      <w:proofErr w:type="spellStart"/>
      <w:r>
        <w:rPr>
          <w:sz w:val="24"/>
          <w:szCs w:val="24"/>
        </w:rPr>
        <w:t>Qu</w:t>
      </w:r>
      <w:proofErr w:type="spellEnd"/>
      <w:proofErr w:type="gramStart"/>
      <w:r>
        <w:rPr>
          <w:sz w:val="24"/>
          <w:szCs w:val="24"/>
        </w:rPr>
        <w:t>,</w:t>
      </w:r>
      <w:r w:rsidRPr="0036354B">
        <w:rPr>
          <w:sz w:val="24"/>
          <w:szCs w:val="24"/>
        </w:rPr>
        <w:t>&amp;</w:t>
      </w:r>
      <w:proofErr w:type="gramEnd"/>
      <w:r w:rsidRPr="0036354B">
        <w:rPr>
          <w:sz w:val="24"/>
          <w:szCs w:val="24"/>
        </w:rPr>
        <w:t xml:space="preserve"> Wang</w:t>
      </w:r>
      <w:r>
        <w:rPr>
          <w:sz w:val="24"/>
          <w:szCs w:val="24"/>
        </w:rPr>
        <w:t>,</w:t>
      </w:r>
      <w:r w:rsidRPr="0036354B">
        <w:rPr>
          <w:sz w:val="24"/>
          <w:szCs w:val="24"/>
        </w:rPr>
        <w:t xml:space="preserve"> 2013), Capital risk has a negative impact on the value created for shareholders. The negative impact of capital risk on shareholder value indicates that banks with low capital risk performed better. Banks that are highly capitalized have relatively lower value created for shareholders. </w:t>
      </w:r>
    </w:p>
    <w:p w:rsidR="00955C42" w:rsidRDefault="00955C42" w:rsidP="00955C42">
      <w:pPr>
        <w:spacing w:after="0" w:line="240" w:lineRule="auto"/>
        <w:rPr>
          <w:b/>
          <w:sz w:val="24"/>
          <w:szCs w:val="24"/>
        </w:rPr>
      </w:pPr>
    </w:p>
    <w:p w:rsidR="00955C42" w:rsidRPr="00BE7142" w:rsidRDefault="00955C42" w:rsidP="00955C42">
      <w:pPr>
        <w:spacing w:after="0" w:line="240" w:lineRule="auto"/>
        <w:rPr>
          <w:b/>
          <w:i/>
          <w:sz w:val="24"/>
          <w:szCs w:val="24"/>
        </w:rPr>
      </w:pPr>
      <w:r w:rsidRPr="00BE7142">
        <w:rPr>
          <w:b/>
          <w:i/>
          <w:sz w:val="24"/>
          <w:szCs w:val="24"/>
        </w:rPr>
        <w:t>2.5 Bank income diversification and shareholder value</w:t>
      </w:r>
    </w:p>
    <w:p w:rsidR="00955C42" w:rsidRPr="0036354B" w:rsidRDefault="00955C42" w:rsidP="00955C42">
      <w:pPr>
        <w:spacing w:after="0" w:line="240" w:lineRule="auto"/>
        <w:rPr>
          <w:sz w:val="24"/>
          <w:szCs w:val="24"/>
        </w:rPr>
      </w:pPr>
      <w:r w:rsidRPr="0036354B">
        <w:rPr>
          <w:sz w:val="24"/>
          <w:szCs w:val="24"/>
        </w:rPr>
        <w:t xml:space="preserve">Diversification is a technique that reduces risk by allocating investments among various financial instruments, industries, and other categories. The Portfolio theory argues that unsystematic risk can be eliminated by going through a diversified portfolio of asset investment. </w:t>
      </w:r>
      <w:r>
        <w:rPr>
          <w:sz w:val="24"/>
          <w:szCs w:val="24"/>
        </w:rPr>
        <w:t>Traditionally, banks involve in accepting deposits and making loans.</w:t>
      </w:r>
      <w:r w:rsidRPr="0036354B">
        <w:rPr>
          <w:sz w:val="24"/>
          <w:szCs w:val="24"/>
        </w:rPr>
        <w:t xml:space="preserve"> Greater competition has diminished the cost advantage banks have had in acquiring funds and has undercut their position in loan markets. Non-interest income is a bank and creditor income derived primarily from fees including deposit and transaction fees, insufficient funds (NSF) fees, annual fees, monthly account service charges, inactivity fees, check and deposit slip fees, and so on. The conventional view of fee income in banking is that banks offset lost margin income via increased fee income </w:t>
      </w:r>
      <w:r>
        <w:rPr>
          <w:sz w:val="24"/>
          <w:szCs w:val="24"/>
        </w:rPr>
        <w:t>(</w:t>
      </w:r>
      <w:r w:rsidRPr="0036354B">
        <w:rPr>
          <w:sz w:val="24"/>
          <w:szCs w:val="24"/>
        </w:rPr>
        <w:t xml:space="preserve">Williams </w:t>
      </w:r>
      <w:r>
        <w:rPr>
          <w:sz w:val="24"/>
          <w:szCs w:val="24"/>
        </w:rPr>
        <w:t>&amp;</w:t>
      </w:r>
      <w:r w:rsidRPr="0036354B">
        <w:rPr>
          <w:sz w:val="24"/>
          <w:szCs w:val="24"/>
        </w:rPr>
        <w:t xml:space="preserve"> Prather 2010).</w:t>
      </w:r>
    </w:p>
    <w:p w:rsidR="00955C42" w:rsidRDefault="00955C42" w:rsidP="00955C42">
      <w:pPr>
        <w:spacing w:after="0" w:line="240" w:lineRule="auto"/>
        <w:rPr>
          <w:sz w:val="24"/>
          <w:szCs w:val="24"/>
        </w:rPr>
      </w:pPr>
    </w:p>
    <w:p w:rsidR="00955C42" w:rsidRPr="0036354B" w:rsidRDefault="00955C42" w:rsidP="00955C42">
      <w:pPr>
        <w:tabs>
          <w:tab w:val="left" w:pos="5940"/>
        </w:tabs>
        <w:spacing w:after="0" w:line="240" w:lineRule="auto"/>
        <w:rPr>
          <w:sz w:val="24"/>
          <w:szCs w:val="24"/>
        </w:rPr>
      </w:pPr>
      <w:r w:rsidRPr="0036354B">
        <w:rPr>
          <w:sz w:val="24"/>
          <w:szCs w:val="24"/>
        </w:rPr>
        <w:t xml:space="preserve">According to </w:t>
      </w:r>
      <w:proofErr w:type="spellStart"/>
      <w:r w:rsidRPr="0036354B">
        <w:rPr>
          <w:sz w:val="24"/>
          <w:szCs w:val="24"/>
        </w:rPr>
        <w:t>Stiroh</w:t>
      </w:r>
      <w:proofErr w:type="spellEnd"/>
      <w:r w:rsidRPr="0036354B">
        <w:rPr>
          <w:sz w:val="24"/>
          <w:szCs w:val="24"/>
        </w:rPr>
        <w:t xml:space="preserve"> (2004), increasing non-interest income on commercial banks in the USA can reduce the volatility of a bank’s profit because of two factors: (1) Non-interest income has less correlation with the whole business than the traditional interest income; and (2) </w:t>
      </w:r>
      <w:r w:rsidRPr="0036354B">
        <w:rPr>
          <w:sz w:val="24"/>
          <w:szCs w:val="24"/>
        </w:rPr>
        <w:lastRenderedPageBreak/>
        <w:t xml:space="preserve">The expanded product line and cross-selling opportunities related to the growth of non-interest income benefits a bank’s revenue portfolio. </w:t>
      </w:r>
      <w:proofErr w:type="gramStart"/>
      <w:r w:rsidRPr="0036354B">
        <w:rPr>
          <w:sz w:val="24"/>
          <w:szCs w:val="24"/>
        </w:rPr>
        <w:t>Kohler(</w:t>
      </w:r>
      <w:proofErr w:type="gramEnd"/>
      <w:r w:rsidRPr="0036354B">
        <w:rPr>
          <w:sz w:val="24"/>
          <w:szCs w:val="24"/>
        </w:rPr>
        <w:t>2013) found a significant impact from noninterest income on bank income structure. Accordingly,</w:t>
      </w:r>
      <w:bookmarkStart w:id="1" w:name="_Hlk14264483"/>
      <w:r w:rsidRPr="0036354B">
        <w:rPr>
          <w:sz w:val="24"/>
          <w:szCs w:val="24"/>
        </w:rPr>
        <w:t xml:space="preserve"> </w:t>
      </w:r>
      <w:proofErr w:type="spellStart"/>
      <w:r w:rsidRPr="0036354B">
        <w:rPr>
          <w:sz w:val="24"/>
          <w:szCs w:val="24"/>
        </w:rPr>
        <w:t>Teimet</w:t>
      </w:r>
      <w:proofErr w:type="spellEnd"/>
      <w:r>
        <w:rPr>
          <w:sz w:val="24"/>
          <w:szCs w:val="24"/>
        </w:rPr>
        <w:t xml:space="preserve">, </w:t>
      </w:r>
      <w:proofErr w:type="spellStart"/>
      <w:r>
        <w:rPr>
          <w:sz w:val="24"/>
          <w:szCs w:val="24"/>
        </w:rPr>
        <w:t>Ochieng</w:t>
      </w:r>
      <w:proofErr w:type="spellEnd"/>
      <w:r>
        <w:rPr>
          <w:sz w:val="24"/>
          <w:szCs w:val="24"/>
        </w:rPr>
        <w:t>, and</w:t>
      </w:r>
      <w:r w:rsidRPr="0036354B">
        <w:rPr>
          <w:sz w:val="24"/>
          <w:szCs w:val="24"/>
        </w:rPr>
        <w:t xml:space="preserve"> Away (2011), </w:t>
      </w:r>
      <w:proofErr w:type="spellStart"/>
      <w:r w:rsidRPr="0036354B">
        <w:rPr>
          <w:sz w:val="24"/>
          <w:szCs w:val="24"/>
        </w:rPr>
        <w:t>Amediku</w:t>
      </w:r>
      <w:proofErr w:type="spellEnd"/>
      <w:r w:rsidRPr="0036354B">
        <w:rPr>
          <w:sz w:val="24"/>
          <w:szCs w:val="24"/>
        </w:rPr>
        <w:t xml:space="preserve"> (2012), Ismail</w:t>
      </w:r>
      <w:r>
        <w:rPr>
          <w:sz w:val="24"/>
          <w:szCs w:val="24"/>
        </w:rPr>
        <w:t xml:space="preserve">, </w:t>
      </w:r>
      <w:proofErr w:type="spellStart"/>
      <w:r>
        <w:rPr>
          <w:sz w:val="24"/>
          <w:szCs w:val="24"/>
        </w:rPr>
        <w:t>Hanif</w:t>
      </w:r>
      <w:proofErr w:type="spellEnd"/>
      <w:r>
        <w:rPr>
          <w:sz w:val="24"/>
          <w:szCs w:val="24"/>
        </w:rPr>
        <w:t xml:space="preserve">, </w:t>
      </w:r>
      <w:proofErr w:type="spellStart"/>
      <w:r>
        <w:rPr>
          <w:sz w:val="24"/>
          <w:szCs w:val="24"/>
        </w:rPr>
        <w:t>Choudhary</w:t>
      </w:r>
      <w:proofErr w:type="spellEnd"/>
      <w:r>
        <w:rPr>
          <w:sz w:val="24"/>
          <w:szCs w:val="24"/>
        </w:rPr>
        <w:t>, and</w:t>
      </w:r>
      <w:r w:rsidRPr="0036354B">
        <w:rPr>
          <w:sz w:val="24"/>
          <w:szCs w:val="24"/>
        </w:rPr>
        <w:t xml:space="preserve"> </w:t>
      </w:r>
      <w:proofErr w:type="spellStart"/>
      <w:proofErr w:type="gramStart"/>
      <w:r w:rsidRPr="0036354B">
        <w:rPr>
          <w:sz w:val="24"/>
          <w:szCs w:val="24"/>
        </w:rPr>
        <w:t>Nisar</w:t>
      </w:r>
      <w:proofErr w:type="spellEnd"/>
      <w:r w:rsidRPr="0036354B">
        <w:rPr>
          <w:sz w:val="24"/>
          <w:szCs w:val="24"/>
        </w:rPr>
        <w:t>(</w:t>
      </w:r>
      <w:proofErr w:type="gramEnd"/>
      <w:r w:rsidRPr="0036354B">
        <w:rPr>
          <w:sz w:val="24"/>
          <w:szCs w:val="24"/>
        </w:rPr>
        <w:t xml:space="preserve">2015)and  </w:t>
      </w:r>
      <w:proofErr w:type="spellStart"/>
      <w:r w:rsidRPr="0036354B">
        <w:rPr>
          <w:sz w:val="24"/>
          <w:szCs w:val="24"/>
        </w:rPr>
        <w:t>Wijethilaka</w:t>
      </w:r>
      <w:proofErr w:type="spellEnd"/>
      <w:r w:rsidRPr="0036354B">
        <w:rPr>
          <w:sz w:val="24"/>
          <w:szCs w:val="24"/>
        </w:rPr>
        <w:t xml:space="preserve"> (2015) found a positive relationship between noninterest income and bank performance </w:t>
      </w:r>
      <w:bookmarkEnd w:id="1"/>
      <w:r w:rsidRPr="0036354B">
        <w:rPr>
          <w:sz w:val="24"/>
          <w:szCs w:val="24"/>
        </w:rPr>
        <w:t>considering their investigations. The opposite findings were shown by</w:t>
      </w:r>
      <w:r>
        <w:rPr>
          <w:sz w:val="24"/>
          <w:szCs w:val="24"/>
        </w:rPr>
        <w:t xml:space="preserve"> </w:t>
      </w:r>
      <w:proofErr w:type="spellStart"/>
      <w:r w:rsidRPr="0036354B">
        <w:rPr>
          <w:sz w:val="24"/>
          <w:szCs w:val="24"/>
        </w:rPr>
        <w:t>Lup</w:t>
      </w:r>
      <w:proofErr w:type="spellEnd"/>
      <w:r w:rsidRPr="0036354B">
        <w:rPr>
          <w:sz w:val="24"/>
          <w:szCs w:val="24"/>
        </w:rPr>
        <w:t xml:space="preserve"> (2015) that bank income diversification reduces bank performances both in Kenya and Islamic banking respectively. </w:t>
      </w:r>
      <w:proofErr w:type="spellStart"/>
      <w:r w:rsidRPr="0036354B">
        <w:rPr>
          <w:sz w:val="24"/>
          <w:szCs w:val="24"/>
        </w:rPr>
        <w:t>Morover</w:t>
      </w:r>
      <w:proofErr w:type="spellEnd"/>
      <w:r w:rsidRPr="0036354B">
        <w:rPr>
          <w:sz w:val="24"/>
          <w:szCs w:val="24"/>
        </w:rPr>
        <w:t xml:space="preserve">, </w:t>
      </w:r>
      <w:proofErr w:type="spellStart"/>
      <w:r w:rsidRPr="0036354B">
        <w:rPr>
          <w:sz w:val="24"/>
          <w:szCs w:val="24"/>
        </w:rPr>
        <w:t>Mercieca</w:t>
      </w:r>
      <w:proofErr w:type="spellEnd"/>
      <w:r>
        <w:rPr>
          <w:sz w:val="24"/>
          <w:szCs w:val="24"/>
        </w:rPr>
        <w:t xml:space="preserve">, </w:t>
      </w:r>
      <w:proofErr w:type="spellStart"/>
      <w:r>
        <w:rPr>
          <w:sz w:val="24"/>
          <w:szCs w:val="24"/>
        </w:rPr>
        <w:t>Schaeck</w:t>
      </w:r>
      <w:proofErr w:type="spellEnd"/>
      <w:r>
        <w:rPr>
          <w:sz w:val="24"/>
          <w:szCs w:val="24"/>
        </w:rPr>
        <w:t>, and</w:t>
      </w:r>
      <w:r w:rsidRPr="0036354B">
        <w:rPr>
          <w:sz w:val="24"/>
          <w:szCs w:val="24"/>
        </w:rPr>
        <w:t xml:space="preserve"> Wolfe</w:t>
      </w:r>
      <w:r>
        <w:rPr>
          <w:sz w:val="24"/>
          <w:szCs w:val="24"/>
        </w:rPr>
        <w:t xml:space="preserve"> </w:t>
      </w:r>
      <w:r w:rsidRPr="0036354B">
        <w:rPr>
          <w:sz w:val="24"/>
          <w:szCs w:val="24"/>
        </w:rPr>
        <w:t xml:space="preserve">(2007) found no direct diversification benefits within and across business lines and an inverse association between non-interest income and bank performance. </w:t>
      </w:r>
      <w:proofErr w:type="spellStart"/>
      <w:r w:rsidRPr="0036354B">
        <w:rPr>
          <w:sz w:val="24"/>
          <w:szCs w:val="24"/>
        </w:rPr>
        <w:t>Craigwell</w:t>
      </w:r>
      <w:proofErr w:type="spellEnd"/>
      <w:r w:rsidRPr="0036354B">
        <w:rPr>
          <w:sz w:val="24"/>
          <w:szCs w:val="24"/>
        </w:rPr>
        <w:t xml:space="preserve"> and Maxwell (2006) found that increases in non-interest income are linked to greater bank profitability but also higher earnings volatility in Barbados banking system. </w:t>
      </w:r>
      <w:proofErr w:type="gramStart"/>
      <w:r w:rsidRPr="0036354B">
        <w:rPr>
          <w:sz w:val="24"/>
          <w:szCs w:val="24"/>
        </w:rPr>
        <w:t xml:space="preserve">Further, Supported by </w:t>
      </w:r>
      <w:proofErr w:type="spellStart"/>
      <w:r w:rsidRPr="0036354B">
        <w:rPr>
          <w:sz w:val="24"/>
          <w:szCs w:val="24"/>
        </w:rPr>
        <w:t>Gamra</w:t>
      </w:r>
      <w:proofErr w:type="spellEnd"/>
      <w:r w:rsidRPr="0036354B">
        <w:rPr>
          <w:sz w:val="24"/>
          <w:szCs w:val="24"/>
        </w:rPr>
        <w:t xml:space="preserve"> and </w:t>
      </w:r>
      <w:proofErr w:type="spellStart"/>
      <w:r w:rsidRPr="0036354B">
        <w:rPr>
          <w:sz w:val="24"/>
          <w:szCs w:val="24"/>
        </w:rPr>
        <w:t>Plihon</w:t>
      </w:r>
      <w:proofErr w:type="spellEnd"/>
      <w:r w:rsidRPr="0036354B">
        <w:rPr>
          <w:sz w:val="24"/>
          <w:szCs w:val="24"/>
        </w:rPr>
        <w:t xml:space="preserve"> (2011</w:t>
      </w:r>
      <w:r>
        <w:rPr>
          <w:sz w:val="24"/>
          <w:szCs w:val="24"/>
        </w:rPr>
        <w:t xml:space="preserve">) </w:t>
      </w:r>
      <w:r w:rsidRPr="0036354B">
        <w:rPr>
          <w:sz w:val="24"/>
          <w:szCs w:val="24"/>
        </w:rPr>
        <w:t>that diversification gains are more than offset by the cost of increased exposure to the non-interest income, specifically by the trading income volatility.</w:t>
      </w:r>
      <w:proofErr w:type="gramEnd"/>
      <w:r w:rsidRPr="0036354B">
        <w:rPr>
          <w:sz w:val="24"/>
          <w:szCs w:val="24"/>
        </w:rPr>
        <w:t xml:space="preserve"> Dempsey, </w:t>
      </w:r>
      <w:proofErr w:type="spellStart"/>
      <w:r w:rsidRPr="0036354B">
        <w:rPr>
          <w:sz w:val="24"/>
          <w:szCs w:val="24"/>
        </w:rPr>
        <w:t>Edirisuriya</w:t>
      </w:r>
      <w:proofErr w:type="spellEnd"/>
      <w:r w:rsidRPr="0036354B">
        <w:rPr>
          <w:sz w:val="24"/>
          <w:szCs w:val="24"/>
        </w:rPr>
        <w:t xml:space="preserve">, and </w:t>
      </w:r>
      <w:proofErr w:type="spellStart"/>
      <w:r w:rsidRPr="0036354B">
        <w:rPr>
          <w:sz w:val="24"/>
          <w:szCs w:val="24"/>
        </w:rPr>
        <w:t>Gunasekarage</w:t>
      </w:r>
      <w:proofErr w:type="spellEnd"/>
      <w:r w:rsidRPr="0036354B">
        <w:rPr>
          <w:sz w:val="24"/>
          <w:szCs w:val="24"/>
        </w:rPr>
        <w:t xml:space="preserve"> (201</w:t>
      </w:r>
      <w:r>
        <w:rPr>
          <w:sz w:val="24"/>
          <w:szCs w:val="24"/>
        </w:rPr>
        <w:t>3</w:t>
      </w:r>
      <w:r w:rsidRPr="0036354B">
        <w:rPr>
          <w:sz w:val="24"/>
          <w:szCs w:val="24"/>
        </w:rPr>
        <w:t>) found that income diversification has a significant positive association with the market to book value and a significant negative association with return volatility.</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Nguyen, </w:t>
      </w:r>
      <w:proofErr w:type="spellStart"/>
      <w:r w:rsidRPr="0036354B">
        <w:rPr>
          <w:sz w:val="24"/>
          <w:szCs w:val="24"/>
        </w:rPr>
        <w:t>Skully</w:t>
      </w:r>
      <w:proofErr w:type="spellEnd"/>
      <w:r w:rsidRPr="0036354B">
        <w:rPr>
          <w:sz w:val="24"/>
          <w:szCs w:val="24"/>
        </w:rPr>
        <w:t xml:space="preserve">, and </w:t>
      </w:r>
      <w:proofErr w:type="spellStart"/>
      <w:r w:rsidRPr="0036354B">
        <w:rPr>
          <w:sz w:val="24"/>
          <w:szCs w:val="24"/>
        </w:rPr>
        <w:t>Perera</w:t>
      </w:r>
      <w:proofErr w:type="spellEnd"/>
      <w:r w:rsidRPr="0036354B">
        <w:rPr>
          <w:sz w:val="24"/>
          <w:szCs w:val="24"/>
        </w:rPr>
        <w:t xml:space="preserve"> (</w:t>
      </w:r>
      <w:r>
        <w:rPr>
          <w:sz w:val="24"/>
          <w:szCs w:val="24"/>
        </w:rPr>
        <w:t>2012)</w:t>
      </w:r>
      <w:r w:rsidRPr="0036354B">
        <w:rPr>
          <w:sz w:val="24"/>
          <w:szCs w:val="24"/>
        </w:rPr>
        <w:t xml:space="preserve"> concluded that banks with greater market power (in both loan and deposit markets) focus more on interest income-generating activities and thus earn less non-interest income. They also found that market power increases stability as banks diversify their income sources in both interests- and non-interest generating activities. </w:t>
      </w:r>
    </w:p>
    <w:p w:rsidR="00955C42" w:rsidRPr="0036354B" w:rsidRDefault="00955C42" w:rsidP="00955C42">
      <w:pPr>
        <w:spacing w:after="0" w:line="240" w:lineRule="auto"/>
        <w:rPr>
          <w:sz w:val="24"/>
          <w:szCs w:val="24"/>
        </w:rPr>
      </w:pPr>
      <w:r w:rsidRPr="0036354B">
        <w:rPr>
          <w:sz w:val="24"/>
          <w:szCs w:val="24"/>
        </w:rPr>
        <w:t>Hence the mix results were obtained by various researchers on bank income diversification as value-adding or non-value adding activity.</w:t>
      </w:r>
    </w:p>
    <w:p w:rsidR="00955C42" w:rsidRDefault="00955C42" w:rsidP="00955C42">
      <w:pPr>
        <w:spacing w:after="0" w:line="240" w:lineRule="auto"/>
        <w:rPr>
          <w:b/>
          <w:sz w:val="24"/>
          <w:szCs w:val="24"/>
        </w:rPr>
      </w:pPr>
    </w:p>
    <w:p w:rsidR="00955C42" w:rsidRPr="0036354B" w:rsidRDefault="00955C42" w:rsidP="00955C42">
      <w:pPr>
        <w:tabs>
          <w:tab w:val="left" w:pos="390"/>
          <w:tab w:val="center" w:pos="3793"/>
        </w:tabs>
        <w:spacing w:after="0" w:line="240" w:lineRule="auto"/>
        <w:rPr>
          <w:sz w:val="24"/>
          <w:szCs w:val="24"/>
        </w:rPr>
      </w:pPr>
      <w:r w:rsidRPr="0036354B">
        <w:rPr>
          <w:b/>
          <w:sz w:val="24"/>
          <w:szCs w:val="24"/>
        </w:rPr>
        <w:t xml:space="preserve">3. Theoretical </w:t>
      </w:r>
      <w:r>
        <w:rPr>
          <w:b/>
          <w:sz w:val="24"/>
          <w:szCs w:val="24"/>
        </w:rPr>
        <w:t>f</w:t>
      </w:r>
      <w:r w:rsidRPr="0036354B">
        <w:rPr>
          <w:b/>
          <w:sz w:val="24"/>
          <w:szCs w:val="24"/>
        </w:rPr>
        <w:t>ramework</w:t>
      </w:r>
    </w:p>
    <w:p w:rsidR="00955C42" w:rsidRPr="0036354B" w:rsidRDefault="00955C42" w:rsidP="00955C42">
      <w:pPr>
        <w:spacing w:after="0" w:line="240" w:lineRule="auto"/>
        <w:rPr>
          <w:sz w:val="24"/>
          <w:szCs w:val="24"/>
        </w:rPr>
      </w:pPr>
      <w:r w:rsidRPr="0036354B">
        <w:rPr>
          <w:sz w:val="24"/>
          <w:szCs w:val="24"/>
        </w:rPr>
        <w:t>Frank Donaldson Brown (1885 – 1965) who introduced Du Pont analysis decomposed the ROA calculation into a product of the sales turnover ratio and the profit margin ratio</w:t>
      </w:r>
      <w:r>
        <w:rPr>
          <w:sz w:val="24"/>
          <w:szCs w:val="24"/>
        </w:rPr>
        <w:t xml:space="preserve"> (</w:t>
      </w:r>
      <w:proofErr w:type="spellStart"/>
      <w:r>
        <w:rPr>
          <w:sz w:val="24"/>
          <w:szCs w:val="24"/>
        </w:rPr>
        <w:t>Marek</w:t>
      </w:r>
      <w:proofErr w:type="spellEnd"/>
      <w:r>
        <w:rPr>
          <w:sz w:val="24"/>
          <w:szCs w:val="24"/>
        </w:rPr>
        <w:t>, 2009)</w:t>
      </w:r>
      <w:r w:rsidRPr="0036354B">
        <w:rPr>
          <w:sz w:val="24"/>
          <w:szCs w:val="24"/>
        </w:rPr>
        <w:t>. Du Pont analysis is highlighting the company’s performance in three major areas: profitability, turnover, and leverage. This model is broadly used now a day by almost all industries and acts as the basic model whereby a detailed analysis of the return on equity and the factors t</w:t>
      </w:r>
      <w:r>
        <w:rPr>
          <w:sz w:val="24"/>
          <w:szCs w:val="24"/>
        </w:rPr>
        <w:t>hat affect it, is made possible</w:t>
      </w:r>
      <w:r w:rsidRPr="0036354B">
        <w:rPr>
          <w:sz w:val="24"/>
          <w:szCs w:val="24"/>
        </w:rPr>
        <w:t xml:space="preserve"> (Kalluci</w:t>
      </w:r>
      <w:proofErr w:type="gramStart"/>
      <w:r w:rsidRPr="0036354B">
        <w:rPr>
          <w:sz w:val="24"/>
          <w:szCs w:val="24"/>
        </w:rPr>
        <w:t>,2011</w:t>
      </w:r>
      <w:proofErr w:type="gramEnd"/>
      <w:r w:rsidRPr="0036354B">
        <w:rPr>
          <w:sz w:val="24"/>
          <w:szCs w:val="24"/>
        </w:rPr>
        <w:t>).</w:t>
      </w:r>
    </w:p>
    <w:p w:rsidR="00955C42"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Du Pont analysis decomposes the ROE calculation in three stages. The calculation of ROE in basically views as follows. </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eastAsiaTheme="minorEastAsia" w:hAnsi="Calibri"/>
        </w:rPr>
      </w:pPr>
      <m:oMathPara>
        <m:oMath>
          <m:r>
            <w:rPr>
              <w:rFonts w:ascii="Cambria Math" w:hAnsi="Cambria Math"/>
            </w:rPr>
            <m:t>ROE=</m:t>
          </m:r>
          <m:f>
            <m:fPr>
              <m:ctrlPr>
                <w:rPr>
                  <w:rFonts w:ascii="Cambria Math" w:hAnsi="Cambria Math"/>
                  <w:i/>
                </w:rPr>
              </m:ctrlPr>
            </m:fPr>
            <m:num>
              <m:r>
                <w:rPr>
                  <w:rFonts w:ascii="Cambria Math" w:hAnsi="Cambria Math"/>
                </w:rPr>
                <m:t>Net Income</m:t>
              </m:r>
            </m:num>
            <m:den>
              <m:r>
                <w:rPr>
                  <w:rFonts w:ascii="Cambria Math" w:hAnsi="Cambria Math"/>
                </w:rPr>
                <m:t>Shareholder Equity</m:t>
              </m:r>
            </m:den>
          </m:f>
        </m:oMath>
      </m:oMathPara>
    </w:p>
    <w:p w:rsidR="00955C42" w:rsidRPr="0036354B" w:rsidRDefault="00955C42" w:rsidP="00955C42">
      <w:pPr>
        <w:pStyle w:val="Default"/>
        <w:jc w:val="both"/>
        <w:rPr>
          <w:rFonts w:ascii="Calibri" w:hAnsi="Calibri"/>
        </w:rPr>
      </w:pPr>
      <w:r w:rsidRPr="0036354B">
        <w:rPr>
          <w:rFonts w:ascii="Calibri" w:eastAsiaTheme="minorEastAsia" w:hAnsi="Calibri"/>
        </w:rPr>
        <w:t xml:space="preserve">In the first stage, </w:t>
      </w:r>
      <w:r w:rsidRPr="0036354B">
        <w:rPr>
          <w:rFonts w:ascii="Calibri" w:hAnsi="Calibri"/>
        </w:rPr>
        <w:t>the return on equity (ROE) breaks down into two elements, i.e. the return on assets (ROA) and financial leverage (or the so-called equity multiplier - EM).</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eastAsiaTheme="minorEastAsia" w:hAnsi="Calibri"/>
        </w:rPr>
      </w:pPr>
      <m:oMathPara>
        <m:oMath>
          <m:r>
            <w:rPr>
              <w:rFonts w:ascii="Cambria Math" w:hAnsi="Cambria Math"/>
            </w:rPr>
            <m:t>ROE=ROA×EM</m:t>
          </m:r>
        </m:oMath>
      </m:oMathPara>
    </w:p>
    <w:p w:rsidR="00955C42" w:rsidRPr="0036354B" w:rsidRDefault="00955C42" w:rsidP="00955C42">
      <w:pPr>
        <w:pStyle w:val="Default"/>
        <w:jc w:val="both"/>
        <w:rPr>
          <w:rFonts w:ascii="Calibri" w:eastAsiaTheme="minorEastAsia" w:hAnsi="Calibri"/>
        </w:rPr>
      </w:pPr>
    </w:p>
    <w:p w:rsidR="00955C42" w:rsidRPr="0036354B" w:rsidRDefault="00955C42" w:rsidP="00955C42">
      <w:pPr>
        <w:pStyle w:val="Default"/>
        <w:jc w:val="both"/>
        <w:rPr>
          <w:rFonts w:ascii="Calibri" w:hAnsi="Calibri"/>
        </w:rPr>
      </w:pPr>
      <w:r w:rsidRPr="0036354B">
        <w:rPr>
          <w:rFonts w:ascii="Calibri" w:hAnsi="Calibri"/>
        </w:rPr>
        <w:t>Where:</w:t>
      </w:r>
    </w:p>
    <w:p w:rsidR="00955C42" w:rsidRPr="0036354B" w:rsidRDefault="00955C42" w:rsidP="00955C42">
      <w:pPr>
        <w:pStyle w:val="Default"/>
        <w:jc w:val="both"/>
        <w:rPr>
          <w:rFonts w:ascii="Calibri" w:hAnsi="Calibri"/>
        </w:rPr>
      </w:pPr>
      <w:r w:rsidRPr="0036354B">
        <w:rPr>
          <w:rFonts w:ascii="Calibri" w:hAnsi="Calibri"/>
        </w:rPr>
        <w:lastRenderedPageBreak/>
        <w:t xml:space="preserve">ROA = Net Income/ Total Assets. It measures bank profit per dollar of assets. Total Asset Turnover (ROA) measures the efficiency of using assets to generate sales, therefore, higher the ratio higher the efficiency. </w:t>
      </w:r>
    </w:p>
    <w:p w:rsidR="00955C42" w:rsidRPr="0036354B" w:rsidRDefault="00955C42" w:rsidP="00955C42">
      <w:pPr>
        <w:pStyle w:val="Default"/>
        <w:jc w:val="both"/>
        <w:rPr>
          <w:rFonts w:ascii="Calibri" w:hAnsi="Calibri"/>
        </w:rPr>
      </w:pPr>
      <w:r w:rsidRPr="0036354B">
        <w:rPr>
          <w:rFonts w:ascii="Calibri" w:hAnsi="Calibri"/>
        </w:rPr>
        <w:t>EM = Total Assets/Total Equity. The equity multiplier is a measure of leverage. A higher equity multiplier ratio shows that an institution is relying more heavily on debt financing to obtain funds.</w:t>
      </w:r>
    </w:p>
    <w:p w:rsidR="00955C42" w:rsidRPr="0036354B" w:rsidRDefault="00955C42" w:rsidP="00955C42">
      <w:pPr>
        <w:pStyle w:val="Default"/>
        <w:jc w:val="both"/>
        <w:rPr>
          <w:rFonts w:ascii="Calibri" w:hAnsi="Calibri"/>
        </w:rPr>
      </w:pPr>
      <w:r w:rsidRPr="0036354B">
        <w:rPr>
          <w:rFonts w:ascii="Calibri" w:hAnsi="Calibri"/>
        </w:rPr>
        <w:t xml:space="preserve">The second stage of ROE decomposition consists of breaking down ROA into two other components, respectively profit margin (PM) and asset utilization (AU): </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m:oMathPara>
        <m:oMath>
          <m:r>
            <w:rPr>
              <w:rFonts w:ascii="Cambria Math" w:hAnsi="Cambria Math"/>
            </w:rPr>
            <m:t>ROA=PM×AU</m:t>
          </m:r>
        </m:oMath>
      </m:oMathPara>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PM = Net income / Total Revenue. It reflects profits per dollar of sales. </w:t>
      </w:r>
    </w:p>
    <w:p w:rsidR="00955C42" w:rsidRPr="0036354B" w:rsidRDefault="00955C42" w:rsidP="00955C42">
      <w:pPr>
        <w:pStyle w:val="Default"/>
        <w:jc w:val="both"/>
        <w:rPr>
          <w:rFonts w:ascii="Calibri" w:hAnsi="Calibri"/>
        </w:rPr>
      </w:pPr>
      <w:r w:rsidRPr="0036354B">
        <w:rPr>
          <w:rFonts w:ascii="Calibri" w:hAnsi="Calibri"/>
        </w:rPr>
        <w:t>AU = Total Revenue / Total Assets. It expresses sales per dollar of assets.</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In the third stage, some new ratios are created, starting from the components of the numerator or the denominator of the indicators generated in the previous stages and adapted to the specific characteristics of each industry.</w:t>
      </w:r>
    </w:p>
    <w:p w:rsidR="00955C42"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As quoted in </w:t>
      </w:r>
      <w:proofErr w:type="spellStart"/>
      <w:r w:rsidRPr="0036354B">
        <w:rPr>
          <w:rFonts w:ascii="Calibri" w:hAnsi="Calibri"/>
        </w:rPr>
        <w:t>Kalluci</w:t>
      </w:r>
      <w:proofErr w:type="spellEnd"/>
      <w:r w:rsidRPr="0036354B">
        <w:rPr>
          <w:rFonts w:ascii="Calibri" w:hAnsi="Calibri"/>
        </w:rPr>
        <w:t xml:space="preserve"> (2011), Cole was the first who adapted and applied the DuPont model for banks. Therefore in the second stage, Du Pont formula for banking institutions can be decomposed as follows. </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eastAsiaTheme="minorEastAsia" w:hAnsi="Calibri"/>
        </w:rPr>
      </w:pPr>
      <m:oMath>
        <m:r>
          <w:rPr>
            <w:rFonts w:ascii="Cambria Math" w:hAnsi="Cambria Math"/>
          </w:rPr>
          <m:t xml:space="preserve">                                              ROE=ROA×EM</m:t>
        </m:r>
      </m:oMath>
      <w:r>
        <w:rPr>
          <w:rFonts w:ascii="Calibri" w:eastAsiaTheme="minorEastAsia" w:hAnsi="Calibri"/>
        </w:rPr>
        <w:t xml:space="preserve">                                                   </w:t>
      </w:r>
      <w:r w:rsidRPr="0036354B">
        <w:rPr>
          <w:rFonts w:ascii="Calibri" w:eastAsiaTheme="minorEastAsia" w:hAnsi="Calibri"/>
        </w:rPr>
        <w:t>(01)</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Where: </w:t>
      </w:r>
    </w:p>
    <w:p w:rsidR="00955C42" w:rsidRPr="0036354B" w:rsidRDefault="00955C42" w:rsidP="00955C42">
      <w:pPr>
        <w:pStyle w:val="Default"/>
        <w:jc w:val="both"/>
        <w:rPr>
          <w:rFonts w:ascii="Calibri" w:hAnsi="Calibri"/>
        </w:rPr>
      </w:pPr>
      <w:r w:rsidRPr="0036354B">
        <w:rPr>
          <w:rFonts w:ascii="Calibri" w:hAnsi="Calibri"/>
        </w:rPr>
        <w:t xml:space="preserve">ROA = Return on Assets </w:t>
      </w:r>
    </w:p>
    <w:p w:rsidR="00955C42" w:rsidRPr="0036354B" w:rsidRDefault="00955C42" w:rsidP="00955C42">
      <w:pPr>
        <w:pStyle w:val="Default"/>
        <w:tabs>
          <w:tab w:val="left" w:pos="8370"/>
        </w:tabs>
        <w:jc w:val="both"/>
        <w:rPr>
          <w:rFonts w:ascii="Calibri" w:hAnsi="Calibri"/>
        </w:rPr>
      </w:pPr>
      <w:r w:rsidRPr="0036354B">
        <w:rPr>
          <w:rFonts w:ascii="Calibri" w:hAnsi="Calibri"/>
        </w:rPr>
        <w:t>EM = Equity Multiplier</w:t>
      </w:r>
    </w:p>
    <w:p w:rsidR="00955C42" w:rsidRPr="0036354B" w:rsidRDefault="00955C42" w:rsidP="00955C42">
      <w:pPr>
        <w:pStyle w:val="Default"/>
        <w:jc w:val="both"/>
        <w:rPr>
          <w:rFonts w:ascii="Calibri" w:hAnsi="Calibri"/>
        </w:rPr>
      </w:pPr>
      <w:r>
        <w:rPr>
          <w:rFonts w:ascii="Calibri" w:hAnsi="Calibri"/>
          <w:noProof/>
        </w:rPr>
        <w:pict>
          <v:shapetype id="_x0000_t202" coordsize="21600,21600" o:spt="202" path="m,l,21600r21600,l21600,xe">
            <v:stroke joinstyle="miter"/>
            <v:path gradientshapeok="t" o:connecttype="rect"/>
          </v:shapetype>
          <v:shape id="Text Box 23" o:spid="_x0000_s1042" type="#_x0000_t202" style="position:absolute;left:0;text-align:left;margin-left:79.65pt;margin-top:5.9pt;width:262.7pt;height:51.3pt;z-index:251661312;visibility:visible;mso-width-relative:margin;mso-height-relative:margin" stroked="f" strokeweight=".5pt">
            <v:textbox>
              <w:txbxContent>
                <w:p w:rsidR="00955C42" w:rsidRDefault="00955C42" w:rsidP="00955C42">
                  <m:oMathPara>
                    <m:oMath>
                      <m:r>
                        <w:rPr>
                          <w:rFonts w:ascii="Cambria Math" w:hAnsi="Cambria Math"/>
                        </w:rPr>
                        <m:t>ROE=</m:t>
                      </m:r>
                      <m:f>
                        <m:fPr>
                          <m:ctrlPr>
                            <w:rPr>
                              <w:rFonts w:ascii="Cambria Math" w:hAnsi="Cambria Math"/>
                              <w:i/>
                            </w:rPr>
                          </m:ctrlPr>
                        </m:fPr>
                        <m:num>
                          <m:r>
                            <w:rPr>
                              <w:rFonts w:ascii="Cambria Math" w:hAnsi="Cambria Math"/>
                            </w:rPr>
                            <m:t>Profit After Tax</m:t>
                          </m:r>
                        </m:num>
                        <m:den>
                          <m:r>
                            <w:rPr>
                              <w:rFonts w:ascii="Cambria Math" w:hAnsi="Cambria Math"/>
                            </w:rPr>
                            <m:t>Total Assets</m:t>
                          </m:r>
                        </m:den>
                      </m:f>
                      <m:r>
                        <w:rPr>
                          <w:rFonts w:ascii="Cambria Math" w:hAnsi="Cambria Math"/>
                        </w:rPr>
                        <m:t>×</m:t>
                      </m:r>
                      <m:f>
                        <m:fPr>
                          <m:ctrlPr>
                            <w:rPr>
                              <w:rFonts w:ascii="Cambria Math" w:hAnsi="Cambria Math"/>
                              <w:i/>
                            </w:rPr>
                          </m:ctrlPr>
                        </m:fPr>
                        <m:num>
                          <m:r>
                            <w:rPr>
                              <w:rFonts w:ascii="Cambria Math" w:hAnsi="Cambria Math"/>
                            </w:rPr>
                            <m:t>Total Assets</m:t>
                          </m:r>
                        </m:num>
                        <m:den>
                          <m:r>
                            <w:rPr>
                              <w:rFonts w:ascii="Cambria Math" w:hAnsi="Cambria Math"/>
                            </w:rPr>
                            <m:t>Equity</m:t>
                          </m:r>
                        </m:den>
                      </m:f>
                    </m:oMath>
                  </m:oMathPara>
                </w:p>
              </w:txbxContent>
            </v:textbox>
          </v:shape>
        </w:pict>
      </w:r>
    </w:p>
    <w:p w:rsidR="00955C42" w:rsidRPr="0036354B" w:rsidRDefault="00955C42" w:rsidP="00955C42">
      <w:pPr>
        <w:pStyle w:val="Default"/>
        <w:tabs>
          <w:tab w:val="left" w:pos="7706"/>
        </w:tabs>
        <w:jc w:val="both"/>
        <w:rPr>
          <w:rFonts w:ascii="Calibri" w:eastAsiaTheme="minorEastAsia" w:hAnsi="Calibri"/>
        </w:rPr>
      </w:pPr>
      <w:r w:rsidRPr="0036354B">
        <w:rPr>
          <w:rFonts w:ascii="Calibri" w:eastAsiaTheme="minorEastAsia" w:hAnsi="Calibri"/>
        </w:rPr>
        <w:tab/>
        <w:t xml:space="preserve">        (02)</w:t>
      </w:r>
    </w:p>
    <w:p w:rsidR="00955C42" w:rsidRPr="0036354B" w:rsidRDefault="00955C42" w:rsidP="00955C42">
      <w:pPr>
        <w:pStyle w:val="Default"/>
        <w:tabs>
          <w:tab w:val="left" w:pos="7706"/>
        </w:tabs>
        <w:jc w:val="right"/>
        <w:rPr>
          <w:rFonts w:ascii="Calibri" w:eastAsiaTheme="minorEastAsia" w:hAnsi="Calibri"/>
        </w:rPr>
      </w:pPr>
    </w:p>
    <w:p w:rsidR="00955C42" w:rsidRPr="0036354B" w:rsidRDefault="00955C42" w:rsidP="00955C42">
      <w:pPr>
        <w:pStyle w:val="Default"/>
        <w:jc w:val="both"/>
        <w:rPr>
          <w:rFonts w:ascii="Calibri" w:eastAsiaTheme="minorEastAsia" w:hAnsi="Calibri"/>
        </w:rPr>
      </w:pPr>
    </w:p>
    <w:p w:rsidR="00955C42" w:rsidRPr="0036354B" w:rsidRDefault="00955C42" w:rsidP="00955C42">
      <w:pPr>
        <w:pStyle w:val="Default"/>
        <w:jc w:val="both"/>
        <w:rPr>
          <w:rFonts w:ascii="Calibri" w:hAnsi="Calibri"/>
        </w:rPr>
      </w:pPr>
      <w:r w:rsidRPr="0036354B">
        <w:rPr>
          <w:rFonts w:ascii="Calibri" w:hAnsi="Calibri"/>
        </w:rPr>
        <w:t xml:space="preserve">The above formula could also be expanded into several components based on the composition of the net income of the respective industry. The modified version of DuPont financial ratio analysis is used by </w:t>
      </w:r>
      <w:proofErr w:type="spellStart"/>
      <w:r w:rsidRPr="0036354B">
        <w:rPr>
          <w:rFonts w:ascii="Calibri" w:hAnsi="Calibri"/>
        </w:rPr>
        <w:t>Kirikal</w:t>
      </w:r>
      <w:proofErr w:type="spellEnd"/>
      <w:r w:rsidRPr="0036354B">
        <w:rPr>
          <w:rFonts w:ascii="Calibri" w:hAnsi="Calibri"/>
        </w:rPr>
        <w:t xml:space="preserve">, </w:t>
      </w:r>
      <w:proofErr w:type="spellStart"/>
      <w:r w:rsidRPr="0036354B">
        <w:rPr>
          <w:rFonts w:ascii="Calibri" w:hAnsi="Calibri"/>
        </w:rPr>
        <w:t>Sorg</w:t>
      </w:r>
      <w:proofErr w:type="spellEnd"/>
      <w:r w:rsidRPr="0036354B">
        <w:rPr>
          <w:rFonts w:ascii="Calibri" w:hAnsi="Calibri"/>
        </w:rPr>
        <w:t xml:space="preserve">, and </w:t>
      </w:r>
      <w:proofErr w:type="spellStart"/>
      <w:r w:rsidRPr="0036354B">
        <w:rPr>
          <w:rFonts w:ascii="Calibri" w:hAnsi="Calibri"/>
        </w:rPr>
        <w:t>Vensel</w:t>
      </w:r>
      <w:proofErr w:type="spellEnd"/>
      <w:r w:rsidRPr="0036354B">
        <w:rPr>
          <w:rFonts w:ascii="Calibri" w:hAnsi="Calibri"/>
        </w:rPr>
        <w:t xml:space="preserve"> (20</w:t>
      </w:r>
      <w:r>
        <w:rPr>
          <w:rFonts w:ascii="Calibri" w:hAnsi="Calibri"/>
        </w:rPr>
        <w:t>11</w:t>
      </w:r>
      <w:r w:rsidRPr="0036354B">
        <w:rPr>
          <w:rFonts w:ascii="Calibri" w:hAnsi="Calibri"/>
        </w:rPr>
        <w:t xml:space="preserve">) to investigate the Estonian banking sector performance. </w:t>
      </w:r>
      <w:proofErr w:type="spellStart"/>
      <w:r w:rsidRPr="0036354B">
        <w:rPr>
          <w:rFonts w:ascii="Calibri" w:hAnsi="Calibri"/>
        </w:rPr>
        <w:t>Almazari</w:t>
      </w:r>
      <w:proofErr w:type="spellEnd"/>
      <w:r w:rsidRPr="0036354B">
        <w:rPr>
          <w:rFonts w:ascii="Calibri" w:hAnsi="Calibri"/>
        </w:rPr>
        <w:t xml:space="preserve"> (2012)</w:t>
      </w:r>
      <w:r>
        <w:rPr>
          <w:rFonts w:ascii="Calibri" w:hAnsi="Calibri"/>
        </w:rPr>
        <w:t xml:space="preserve"> and</w:t>
      </w:r>
      <w:r w:rsidRPr="0036354B">
        <w:rPr>
          <w:rFonts w:ascii="Calibri" w:hAnsi="Calibri"/>
        </w:rPr>
        <w:t xml:space="preserve"> </w:t>
      </w:r>
      <w:proofErr w:type="spellStart"/>
      <w:r w:rsidRPr="0036354B">
        <w:rPr>
          <w:rFonts w:ascii="Calibri" w:hAnsi="Calibri"/>
        </w:rPr>
        <w:t>Georgios</w:t>
      </w:r>
      <w:proofErr w:type="spellEnd"/>
      <w:r w:rsidRPr="0036354B">
        <w:rPr>
          <w:rFonts w:ascii="Calibri" w:hAnsi="Calibri"/>
        </w:rPr>
        <w:t xml:space="preserve"> </w:t>
      </w:r>
      <w:r>
        <w:rPr>
          <w:rFonts w:ascii="Calibri" w:hAnsi="Calibri"/>
        </w:rPr>
        <w:t xml:space="preserve">and </w:t>
      </w:r>
      <w:proofErr w:type="spellStart"/>
      <w:r>
        <w:rPr>
          <w:rFonts w:ascii="Calibri" w:hAnsi="Calibri"/>
        </w:rPr>
        <w:t>Georgios</w:t>
      </w:r>
      <w:proofErr w:type="spellEnd"/>
      <w:r>
        <w:rPr>
          <w:rFonts w:ascii="Calibri" w:hAnsi="Calibri"/>
        </w:rPr>
        <w:t xml:space="preserve"> </w:t>
      </w:r>
      <w:r w:rsidRPr="0036354B">
        <w:rPr>
          <w:rFonts w:ascii="Calibri" w:hAnsi="Calibri"/>
        </w:rPr>
        <w:t xml:space="preserve">(2011) </w:t>
      </w:r>
      <w:r>
        <w:rPr>
          <w:rFonts w:ascii="Calibri" w:hAnsi="Calibri"/>
        </w:rPr>
        <w:t>e</w:t>
      </w:r>
      <w:r w:rsidRPr="0036354B">
        <w:rPr>
          <w:rFonts w:ascii="Calibri" w:hAnsi="Calibri"/>
        </w:rPr>
        <w:t xml:space="preserve">stimated banks' ROE to measure bank performance </w:t>
      </w:r>
      <w:proofErr w:type="gramStart"/>
      <w:r w:rsidRPr="0036354B">
        <w:rPr>
          <w:rFonts w:ascii="Calibri" w:hAnsi="Calibri"/>
        </w:rPr>
        <w:t>using  Du</w:t>
      </w:r>
      <w:proofErr w:type="gramEnd"/>
      <w:r w:rsidRPr="0036354B">
        <w:rPr>
          <w:rFonts w:ascii="Calibri" w:hAnsi="Calibri"/>
        </w:rPr>
        <w:t xml:space="preserve"> Pont model. </w:t>
      </w:r>
      <w:proofErr w:type="spellStart"/>
      <w:r w:rsidRPr="0036354B">
        <w:rPr>
          <w:rFonts w:ascii="Calibri" w:hAnsi="Calibri"/>
        </w:rPr>
        <w:t>Sensarma</w:t>
      </w:r>
      <w:proofErr w:type="spellEnd"/>
      <w:r w:rsidRPr="0036354B">
        <w:rPr>
          <w:rFonts w:ascii="Calibri" w:hAnsi="Calibri"/>
        </w:rPr>
        <w:t xml:space="preserve"> and </w:t>
      </w:r>
      <w:proofErr w:type="spellStart"/>
      <w:r w:rsidRPr="0036354B">
        <w:rPr>
          <w:rFonts w:ascii="Calibri" w:hAnsi="Calibri"/>
        </w:rPr>
        <w:t>Jayadev</w:t>
      </w:r>
      <w:proofErr w:type="spellEnd"/>
      <w:r w:rsidRPr="0036354B">
        <w:rPr>
          <w:rFonts w:ascii="Calibri" w:hAnsi="Calibri"/>
        </w:rPr>
        <w:t xml:space="preserve"> (2009) had developed a framework to identify the four risk management variables by expanding basic ROE into four components using the composition of profit after tax of commercial</w:t>
      </w:r>
      <w:r>
        <w:rPr>
          <w:rFonts w:ascii="Calibri" w:hAnsi="Calibri"/>
        </w:rPr>
        <w:t xml:space="preserve"> banks in India. And </w:t>
      </w:r>
      <w:proofErr w:type="spellStart"/>
      <w:r>
        <w:rPr>
          <w:rFonts w:ascii="Calibri" w:hAnsi="Calibri"/>
        </w:rPr>
        <w:t>Fathi</w:t>
      </w:r>
      <w:proofErr w:type="spellEnd"/>
      <w:r>
        <w:rPr>
          <w:rFonts w:ascii="Calibri" w:hAnsi="Calibri"/>
        </w:rPr>
        <w:t xml:space="preserve"> et al.</w:t>
      </w:r>
      <w:r w:rsidRPr="0036354B">
        <w:rPr>
          <w:rFonts w:ascii="Calibri" w:hAnsi="Calibri"/>
        </w:rPr>
        <w:t xml:space="preserve"> (2012) and </w:t>
      </w:r>
      <w:proofErr w:type="spellStart"/>
      <w:r w:rsidRPr="0036354B">
        <w:rPr>
          <w:rFonts w:ascii="Calibri" w:hAnsi="Calibri"/>
        </w:rPr>
        <w:t>Saeidi</w:t>
      </w:r>
      <w:proofErr w:type="spellEnd"/>
      <w:r w:rsidRPr="0036354B">
        <w:rPr>
          <w:rFonts w:ascii="Calibri" w:hAnsi="Calibri"/>
        </w:rPr>
        <w:t xml:space="preserve"> and </w:t>
      </w:r>
      <w:proofErr w:type="spellStart"/>
      <w:proofErr w:type="gramStart"/>
      <w:r w:rsidRPr="0036354B">
        <w:rPr>
          <w:rFonts w:ascii="Calibri" w:hAnsi="Calibri"/>
        </w:rPr>
        <w:t>Kamali</w:t>
      </w:r>
      <w:proofErr w:type="spellEnd"/>
      <w:r w:rsidRPr="0036354B">
        <w:rPr>
          <w:rFonts w:ascii="Calibri" w:hAnsi="Calibri"/>
        </w:rPr>
        <w:t>(</w:t>
      </w:r>
      <w:proofErr w:type="gramEnd"/>
      <w:r w:rsidRPr="0036354B">
        <w:rPr>
          <w:rFonts w:ascii="Calibri" w:hAnsi="Calibri"/>
        </w:rPr>
        <w:t>2016) used this expanded framework to identify the same risk management variables concerning Iranian banks.</w:t>
      </w:r>
    </w:p>
    <w:p w:rsidR="00955C42" w:rsidRPr="0036354B" w:rsidRDefault="00955C42" w:rsidP="00955C42">
      <w:pPr>
        <w:pStyle w:val="Default"/>
        <w:jc w:val="both"/>
        <w:rPr>
          <w:rFonts w:ascii="Calibri" w:hAnsi="Calibri"/>
        </w:rPr>
      </w:pPr>
      <w:r w:rsidRPr="0036354B">
        <w:rPr>
          <w:rFonts w:ascii="Calibri" w:hAnsi="Calibri"/>
        </w:rPr>
        <w:t xml:space="preserve">According to the bank's income statement composition, the profit after tax of bank income statement mainly comprises of three components as interest income, noninterest income, and provisions for loan losses. Therefore based on such argument </w:t>
      </w:r>
      <w:proofErr w:type="spellStart"/>
      <w:r w:rsidRPr="0036354B">
        <w:rPr>
          <w:rFonts w:ascii="Calibri" w:hAnsi="Calibri"/>
        </w:rPr>
        <w:t>Sensarma</w:t>
      </w:r>
      <w:proofErr w:type="spellEnd"/>
      <w:r w:rsidRPr="0036354B">
        <w:rPr>
          <w:rFonts w:ascii="Calibri" w:hAnsi="Calibri"/>
        </w:rPr>
        <w:t xml:space="preserve"> and </w:t>
      </w:r>
      <w:proofErr w:type="spellStart"/>
      <w:r w:rsidRPr="0036354B">
        <w:rPr>
          <w:rFonts w:ascii="Calibri" w:hAnsi="Calibri"/>
        </w:rPr>
        <w:t>Jayadev</w:t>
      </w:r>
      <w:proofErr w:type="spellEnd"/>
      <w:r w:rsidRPr="0036354B">
        <w:rPr>
          <w:rFonts w:ascii="Calibri" w:hAnsi="Calibri"/>
        </w:rPr>
        <w:t xml:space="preserve"> (2009) expanded </w:t>
      </w:r>
      <w:proofErr w:type="gramStart"/>
      <w:r w:rsidRPr="0036354B">
        <w:rPr>
          <w:rFonts w:ascii="Calibri" w:hAnsi="Calibri"/>
        </w:rPr>
        <w:t>bank  ROA</w:t>
      </w:r>
      <w:proofErr w:type="gramEnd"/>
      <w:r w:rsidRPr="0036354B">
        <w:rPr>
          <w:rFonts w:ascii="Calibri" w:hAnsi="Calibri"/>
        </w:rPr>
        <w:t xml:space="preserve"> as follows; </w:t>
      </w:r>
    </w:p>
    <w:p w:rsidR="00955C42" w:rsidRPr="0036354B" w:rsidRDefault="00955C42" w:rsidP="00955C42">
      <w:pPr>
        <w:pStyle w:val="Default"/>
        <w:jc w:val="both"/>
        <w:rPr>
          <w:rFonts w:ascii="Calibri" w:hAnsi="Calibri"/>
        </w:rPr>
      </w:pPr>
      <w:r w:rsidRPr="00507347">
        <w:rPr>
          <w:rFonts w:ascii="Calibri" w:eastAsiaTheme="minorEastAsia" w:hAnsi="Calibri"/>
          <w:noProof/>
        </w:rPr>
        <w:lastRenderedPageBreak/>
        <w:pict>
          <v:shape id="Text Box 2" o:spid="_x0000_s1043" type="#_x0000_t202" style="position:absolute;left:0;text-align:left;margin-left:0;margin-top:0;width:240pt;height:61.25pt;z-index:251662336;visibility:visible;mso-position-horizontal:center;mso-width-relative:margin;mso-height-relative:margin" stroked="f">
            <v:textbox>
              <w:txbxContent>
                <w:p w:rsidR="00955C42" w:rsidRPr="00304DA1" w:rsidRDefault="00955C42" w:rsidP="00955C42">
                  <w:pPr>
                    <w:pStyle w:val="Default"/>
                    <w:spacing w:line="360" w:lineRule="auto"/>
                    <w:jc w:val="both"/>
                    <w:rPr>
                      <w:rFonts w:eastAsiaTheme="minorEastAsia"/>
                    </w:rPr>
                  </w:pPr>
                  <w:r>
                    <w:rPr>
                      <w:rFonts w:ascii="Cambria Math" w:hAnsi="Cambria Math"/>
                    </w:rPr>
                    <w:br/>
                  </w:r>
                  <m:oMathPara>
                    <m:oMath>
                      <m:r>
                        <w:rPr>
                          <w:rFonts w:ascii="Cambria Math" w:hAnsi="Cambria Math"/>
                        </w:rPr>
                        <m:t>ROA=</m:t>
                      </m:r>
                      <m:f>
                        <m:fPr>
                          <m:ctrlPr>
                            <w:rPr>
                              <w:rFonts w:ascii="Cambria Math" w:hAnsi="Cambria Math"/>
                              <w:i/>
                            </w:rPr>
                          </m:ctrlPr>
                        </m:fPr>
                        <m:num>
                          <m:r>
                            <w:rPr>
                              <w:rFonts w:ascii="Cambria Math" w:hAnsi="Cambria Math"/>
                            </w:rPr>
                            <m:t>II-IE</m:t>
                          </m:r>
                        </m:num>
                        <m:den>
                          <m:r>
                            <w:rPr>
                              <w:rFonts w:ascii="Cambria Math" w:hAnsi="Cambria Math"/>
                            </w:rPr>
                            <m:t>TA</m:t>
                          </m:r>
                        </m:den>
                      </m:f>
                      <m:r>
                        <w:rPr>
                          <w:rFonts w:ascii="Cambria Math" w:hAnsi="Cambria Math"/>
                        </w:rPr>
                        <m:t>+</m:t>
                      </m:r>
                      <m:f>
                        <m:fPr>
                          <m:ctrlPr>
                            <w:rPr>
                              <w:rFonts w:ascii="Cambria Math" w:hAnsi="Cambria Math"/>
                              <w:i/>
                            </w:rPr>
                          </m:ctrlPr>
                        </m:fPr>
                        <m:num>
                          <m:r>
                            <w:rPr>
                              <w:rFonts w:ascii="Cambria Math" w:hAnsi="Cambria Math"/>
                            </w:rPr>
                            <m:t>NONII-NONIE</m:t>
                          </m:r>
                        </m:num>
                        <m:den>
                          <m:r>
                            <w:rPr>
                              <w:rFonts w:ascii="Cambria Math" w:hAnsi="Cambria Math"/>
                            </w:rPr>
                            <m:t>TA</m:t>
                          </m:r>
                        </m:den>
                      </m:f>
                      <m:r>
                        <w:rPr>
                          <w:rFonts w:ascii="Cambria Math" w:hAnsi="Cambria Math"/>
                        </w:rPr>
                        <m:t>-</m:t>
                      </m:r>
                      <m:f>
                        <m:fPr>
                          <m:ctrlPr>
                            <w:rPr>
                              <w:rFonts w:ascii="Cambria Math" w:hAnsi="Cambria Math"/>
                              <w:i/>
                            </w:rPr>
                          </m:ctrlPr>
                        </m:fPr>
                        <m:num>
                          <m:r>
                            <w:rPr>
                              <w:rFonts w:ascii="Cambria Math" w:hAnsi="Cambria Math"/>
                            </w:rPr>
                            <m:t>PROV</m:t>
                          </m:r>
                        </m:num>
                        <m:den>
                          <m:r>
                            <w:rPr>
                              <w:rFonts w:ascii="Cambria Math" w:hAnsi="Cambria Math"/>
                            </w:rPr>
                            <m:t>TA</m:t>
                          </m:r>
                        </m:den>
                      </m:f>
                    </m:oMath>
                  </m:oMathPara>
                </w:p>
                <w:p w:rsidR="00955C42" w:rsidRDefault="00955C42" w:rsidP="00955C42"/>
              </w:txbxContent>
            </v:textbox>
          </v:shape>
        </w:pict>
      </w:r>
    </w:p>
    <w:p w:rsidR="00955C42" w:rsidRPr="0036354B" w:rsidRDefault="00955C42" w:rsidP="00955C42">
      <w:pPr>
        <w:pStyle w:val="Default"/>
        <w:tabs>
          <w:tab w:val="left" w:pos="7491"/>
        </w:tabs>
        <w:jc w:val="both"/>
        <w:rPr>
          <w:rFonts w:ascii="Calibri" w:eastAsiaTheme="minorEastAsia" w:hAnsi="Calibri"/>
        </w:rPr>
      </w:pPr>
      <w:r w:rsidRPr="0036354B">
        <w:rPr>
          <w:rFonts w:ascii="Calibri" w:eastAsiaTheme="minorEastAsia" w:hAnsi="Calibri"/>
        </w:rPr>
        <w:tab/>
        <w:t>(03)</w:t>
      </w:r>
    </w:p>
    <w:p w:rsidR="00955C42" w:rsidRPr="0036354B" w:rsidRDefault="00955C42" w:rsidP="00955C42">
      <w:pPr>
        <w:pStyle w:val="Default"/>
        <w:jc w:val="both"/>
        <w:rPr>
          <w:rFonts w:ascii="Calibri" w:eastAsiaTheme="minorEastAsia" w:hAnsi="Calibri"/>
        </w:rPr>
      </w:pPr>
    </w:p>
    <w:p w:rsidR="00955C42" w:rsidRPr="0036354B" w:rsidRDefault="00955C42" w:rsidP="00955C42">
      <w:pPr>
        <w:pStyle w:val="Default"/>
        <w:jc w:val="both"/>
        <w:rPr>
          <w:rFonts w:ascii="Calibri" w:eastAsiaTheme="minorEastAsia" w:hAnsi="Calibri"/>
        </w:rPr>
      </w:pP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Where: </w:t>
      </w:r>
    </w:p>
    <w:p w:rsidR="00955C42" w:rsidRPr="0036354B" w:rsidRDefault="00955C42" w:rsidP="00955C42">
      <w:pPr>
        <w:pStyle w:val="Default"/>
        <w:jc w:val="both"/>
        <w:rPr>
          <w:rFonts w:ascii="Calibri" w:hAnsi="Calibri"/>
        </w:rPr>
      </w:pPr>
      <w:r w:rsidRPr="0036354B">
        <w:rPr>
          <w:rFonts w:ascii="Calibri" w:hAnsi="Calibri"/>
        </w:rPr>
        <w:t xml:space="preserve">II =Interest Income, IE=Interest Expense, TA=Total Assets, NONII=Non Interest Income, NONIE= Non-Interest Expense, PROV = Provision for Loan Losses  </w:t>
      </w:r>
    </w:p>
    <w:p w:rsidR="00955C42" w:rsidRPr="0036354B" w:rsidRDefault="00955C42" w:rsidP="00955C42">
      <w:pPr>
        <w:pStyle w:val="Default"/>
        <w:jc w:val="both"/>
        <w:rPr>
          <w:rFonts w:ascii="Calibri" w:hAnsi="Calibri"/>
        </w:rPr>
      </w:pPr>
      <w:r w:rsidRPr="0036354B">
        <w:rPr>
          <w:rFonts w:ascii="Calibri" w:hAnsi="Calibri"/>
        </w:rPr>
        <w:t>Accordingly, ROA can be rewritten as:</w:t>
      </w:r>
    </w:p>
    <w:p w:rsidR="00955C42" w:rsidRPr="0036354B" w:rsidRDefault="00955C42" w:rsidP="00955C42">
      <w:pPr>
        <w:pStyle w:val="Default"/>
        <w:jc w:val="both"/>
        <w:rPr>
          <w:rFonts w:ascii="Calibri" w:hAnsi="Calibri"/>
        </w:rPr>
      </w:pPr>
      <w:r>
        <w:rPr>
          <w:rFonts w:ascii="Calibri" w:hAnsi="Calibri"/>
          <w:noProof/>
        </w:rPr>
        <w:pict>
          <v:shape id="_x0000_s1044" type="#_x0000_t202" style="position:absolute;left:0;text-align:left;margin-left:98.8pt;margin-top:18.9pt;width:238.45pt;height:39.85pt;z-index:251663360;visibility:visible;mso-width-relative:margin;mso-height-relative:margin" stroked="f">
            <v:textbox>
              <w:txbxContent>
                <w:p w:rsidR="00955C42" w:rsidRPr="006518C6" w:rsidRDefault="00955C42" w:rsidP="00955C42">
                  <w:pPr>
                    <w:pStyle w:val="Default"/>
                    <w:spacing w:line="360" w:lineRule="auto"/>
                    <w:jc w:val="both"/>
                  </w:pPr>
                  <m:oMathPara>
                    <m:oMath>
                      <m:r>
                        <w:rPr>
                          <w:rFonts w:ascii="Cambria Math" w:hAnsi="Cambria Math"/>
                        </w:rPr>
                        <m:t xml:space="preserve">ROA=NETIM+NNIM-PROV    </m:t>
                      </m:r>
                    </m:oMath>
                  </m:oMathPara>
                </w:p>
                <w:p w:rsidR="00955C42" w:rsidRDefault="00955C42" w:rsidP="00955C42"/>
              </w:txbxContent>
            </v:textbox>
          </v:shape>
        </w:pict>
      </w:r>
    </w:p>
    <w:p w:rsidR="00955C42" w:rsidRPr="0036354B" w:rsidRDefault="00955C42" w:rsidP="00955C42">
      <w:pPr>
        <w:pStyle w:val="Default"/>
        <w:tabs>
          <w:tab w:val="left" w:pos="7690"/>
        </w:tabs>
        <w:jc w:val="both"/>
        <w:rPr>
          <w:rFonts w:ascii="Calibri" w:hAnsi="Calibri"/>
        </w:rPr>
      </w:pPr>
      <w:r w:rsidRPr="0036354B">
        <w:rPr>
          <w:rFonts w:ascii="Calibri" w:hAnsi="Calibri"/>
        </w:rPr>
        <w:tab/>
        <w:t>(04)</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Where: </w:t>
      </w:r>
    </w:p>
    <w:p w:rsidR="00955C42" w:rsidRPr="0036354B" w:rsidRDefault="00955C42" w:rsidP="00955C42">
      <w:pPr>
        <w:pStyle w:val="Default"/>
        <w:jc w:val="both"/>
        <w:rPr>
          <w:rFonts w:ascii="Calibri" w:hAnsi="Calibri"/>
        </w:rPr>
      </w:pPr>
      <w:r w:rsidRPr="0036354B">
        <w:rPr>
          <w:rFonts w:ascii="Calibri" w:hAnsi="Calibri"/>
        </w:rPr>
        <w:t xml:space="preserve">NETIM=Net Interest Margin, NNIM=Net Noninterest Margin and PROV=Loan Losses to Total Assets </w:t>
      </w:r>
    </w:p>
    <w:p w:rsidR="00955C42" w:rsidRPr="0036354B" w:rsidRDefault="00955C42" w:rsidP="00955C42">
      <w:pPr>
        <w:pStyle w:val="Default"/>
        <w:jc w:val="both"/>
        <w:rPr>
          <w:rFonts w:ascii="Calibri" w:hAnsi="Calibri"/>
        </w:rPr>
      </w:pPr>
      <w:r w:rsidRPr="0036354B">
        <w:rPr>
          <w:rFonts w:ascii="Calibri" w:hAnsi="Calibri"/>
        </w:rPr>
        <w:t>Substituting equation (04) in to (01), ROE can be represented as:</w:t>
      </w:r>
    </w:p>
    <w:p w:rsidR="00955C42" w:rsidRPr="0036354B" w:rsidRDefault="00955C42" w:rsidP="00955C42">
      <w:pPr>
        <w:pStyle w:val="Default"/>
        <w:jc w:val="both"/>
        <w:rPr>
          <w:rFonts w:ascii="Calibri" w:hAnsi="Calibri"/>
        </w:rPr>
      </w:pPr>
    </w:p>
    <w:p w:rsidR="00955C42" w:rsidRPr="0036354B" w:rsidRDefault="00955C42" w:rsidP="00955C42">
      <w:pPr>
        <w:pStyle w:val="Default"/>
        <w:tabs>
          <w:tab w:val="left" w:pos="7292"/>
          <w:tab w:val="left" w:pos="8640"/>
          <w:tab w:val="left" w:pos="8730"/>
        </w:tabs>
        <w:jc w:val="both"/>
        <w:rPr>
          <w:rFonts w:ascii="Calibri" w:eastAsiaTheme="minorEastAsia" w:hAnsi="Calibri"/>
        </w:rPr>
      </w:pPr>
      <w:r>
        <w:rPr>
          <w:rFonts w:ascii="Calibri" w:eastAsiaTheme="minorEastAsia" w:hAnsi="Calibri"/>
          <w:noProof/>
        </w:rPr>
        <w:pict>
          <v:shape id="_x0000_s1045" type="#_x0000_t202" style="position:absolute;left:0;text-align:left;margin-left:0;margin-top:0;width:261.15pt;height:55.9pt;z-index:251664384;visibility:visible;mso-position-horizontal:center;mso-width-relative:margin;mso-height-relative:margin" stroked="f">
            <v:textbox>
              <w:txbxContent>
                <w:p w:rsidR="00955C42" w:rsidRPr="00304DA1" w:rsidRDefault="00955C42" w:rsidP="00955C42">
                  <w:pPr>
                    <w:pStyle w:val="Default"/>
                    <w:spacing w:line="360" w:lineRule="auto"/>
                    <w:jc w:val="both"/>
                    <w:rPr>
                      <w:rFonts w:eastAsiaTheme="minorEastAsia"/>
                    </w:rPr>
                  </w:pPr>
                  <m:oMathPara>
                    <m:oMath>
                      <m:r>
                        <w:rPr>
                          <w:rFonts w:ascii="Cambria Math" w:hAnsi="Cambria Math"/>
                        </w:rPr>
                        <m:t>ROE=(</m:t>
                      </m:r>
                      <m:r>
                        <w:rPr>
                          <w:rFonts w:ascii="Cambria Math" w:eastAsiaTheme="minorEastAsia" w:hAnsi="Cambria Math"/>
                        </w:rPr>
                        <m:t>NETIM+NNIM-PROV)×EM</m:t>
                      </m:r>
                    </m:oMath>
                  </m:oMathPara>
                </w:p>
                <w:p w:rsidR="00955C42" w:rsidRDefault="00955C42" w:rsidP="00955C42"/>
              </w:txbxContent>
            </v:textbox>
          </v:shape>
        </w:pict>
      </w:r>
      <w:r w:rsidRPr="0036354B">
        <w:rPr>
          <w:rFonts w:ascii="Calibri" w:eastAsiaTheme="minorEastAsia" w:hAnsi="Calibri"/>
        </w:rPr>
        <w:tab/>
        <w:t>(05)</w:t>
      </w:r>
    </w:p>
    <w:p w:rsidR="00955C42" w:rsidRPr="0036354B" w:rsidRDefault="00955C42" w:rsidP="00955C42">
      <w:pPr>
        <w:pStyle w:val="Default"/>
        <w:tabs>
          <w:tab w:val="left" w:pos="7414"/>
        </w:tabs>
        <w:jc w:val="both"/>
        <w:rPr>
          <w:rFonts w:ascii="Calibri" w:eastAsiaTheme="minorEastAsia" w:hAnsi="Calibri"/>
        </w:rPr>
      </w:pPr>
      <w:r w:rsidRPr="0036354B">
        <w:rPr>
          <w:rFonts w:ascii="Calibri" w:eastAsiaTheme="minorEastAsia" w:hAnsi="Calibri"/>
        </w:rPr>
        <w:tab/>
      </w:r>
    </w:p>
    <w:p w:rsidR="00955C42" w:rsidRPr="0036354B" w:rsidRDefault="00955C42" w:rsidP="00955C42">
      <w:pPr>
        <w:pStyle w:val="Default"/>
        <w:tabs>
          <w:tab w:val="left" w:pos="7414"/>
        </w:tabs>
        <w:jc w:val="both"/>
        <w:rPr>
          <w:rFonts w:ascii="Calibri" w:eastAsiaTheme="minorEastAsia" w:hAnsi="Calibri"/>
        </w:rPr>
      </w:pPr>
    </w:p>
    <w:p w:rsidR="00955C42" w:rsidRPr="0036354B" w:rsidRDefault="00955C42" w:rsidP="00955C42">
      <w:pPr>
        <w:pStyle w:val="Default"/>
        <w:tabs>
          <w:tab w:val="left" w:pos="7414"/>
        </w:tabs>
        <w:jc w:val="both"/>
        <w:rPr>
          <w:rFonts w:ascii="Calibri" w:eastAsiaTheme="minorEastAsia" w:hAnsi="Calibri"/>
        </w:rPr>
      </w:pPr>
    </w:p>
    <w:p w:rsidR="00955C42" w:rsidRPr="0036354B" w:rsidRDefault="00955C42" w:rsidP="00955C42">
      <w:pPr>
        <w:pStyle w:val="Default"/>
        <w:jc w:val="both"/>
        <w:rPr>
          <w:rFonts w:ascii="Calibri" w:hAnsi="Calibri"/>
        </w:rPr>
      </w:pPr>
      <w:r w:rsidRPr="0036354B">
        <w:rPr>
          <w:rFonts w:ascii="Calibri" w:hAnsi="Calibri"/>
        </w:rPr>
        <w:t xml:space="preserve">Equation (05) shows that the banks can achieve their purpose of maximizing stockholders’ wealth through maximizing NETIM, NNIM, and EM and minimizing PROV. </w:t>
      </w:r>
    </w:p>
    <w:p w:rsidR="00955C42"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Finally, the Following theoretical framework was developed by </w:t>
      </w:r>
      <w:proofErr w:type="spellStart"/>
      <w:r w:rsidRPr="0036354B">
        <w:rPr>
          <w:rFonts w:ascii="Calibri" w:hAnsi="Calibri"/>
        </w:rPr>
        <w:t>Sensarma</w:t>
      </w:r>
      <w:proofErr w:type="spellEnd"/>
      <w:r w:rsidRPr="0036354B">
        <w:rPr>
          <w:rFonts w:ascii="Calibri" w:hAnsi="Calibri"/>
        </w:rPr>
        <w:t xml:space="preserve"> and </w:t>
      </w:r>
      <w:proofErr w:type="spellStart"/>
      <w:r w:rsidRPr="0036354B">
        <w:rPr>
          <w:rFonts w:ascii="Calibri" w:hAnsi="Calibri"/>
        </w:rPr>
        <w:t>Jayadev</w:t>
      </w:r>
      <w:proofErr w:type="spellEnd"/>
      <w:r w:rsidRPr="0036354B">
        <w:rPr>
          <w:rFonts w:ascii="Calibri" w:hAnsi="Calibri"/>
        </w:rPr>
        <w:t xml:space="preserve"> (2009) and followed by </w:t>
      </w:r>
      <w:proofErr w:type="spellStart"/>
      <w:r w:rsidRPr="0036354B">
        <w:rPr>
          <w:rFonts w:ascii="Calibri" w:hAnsi="Calibri"/>
        </w:rPr>
        <w:t>Fathi</w:t>
      </w:r>
      <w:proofErr w:type="spellEnd"/>
      <w:r>
        <w:rPr>
          <w:rFonts w:ascii="Calibri" w:hAnsi="Calibri"/>
        </w:rPr>
        <w:t xml:space="preserve"> et al.</w:t>
      </w:r>
      <w:r w:rsidRPr="0036354B">
        <w:rPr>
          <w:rFonts w:ascii="Calibri" w:hAnsi="Calibri"/>
        </w:rPr>
        <w:t xml:space="preserve"> (2012) and </w:t>
      </w:r>
      <w:proofErr w:type="spellStart"/>
      <w:r w:rsidRPr="0036354B">
        <w:rPr>
          <w:rFonts w:ascii="Calibri" w:hAnsi="Calibri"/>
        </w:rPr>
        <w:t>Saeidi</w:t>
      </w:r>
      <w:proofErr w:type="spellEnd"/>
      <w:r w:rsidRPr="0036354B">
        <w:rPr>
          <w:rFonts w:ascii="Calibri" w:hAnsi="Calibri"/>
        </w:rPr>
        <w:t xml:space="preserve"> and </w:t>
      </w:r>
      <w:proofErr w:type="spellStart"/>
      <w:r w:rsidRPr="0036354B">
        <w:rPr>
          <w:rFonts w:ascii="Calibri" w:hAnsi="Calibri"/>
        </w:rPr>
        <w:t>Kamali</w:t>
      </w:r>
      <w:proofErr w:type="spellEnd"/>
      <w:r w:rsidRPr="0036354B">
        <w:rPr>
          <w:rFonts w:ascii="Calibri" w:hAnsi="Calibri"/>
        </w:rPr>
        <w:t xml:space="preserve"> (2016) to identify four risk management capabilities. This study also used the following framework (see figure 3.1) to identify four basic risk management capabilities in terms of interest rate risk management, bank income diversification, credit risk management, and solvency risk management.  </w:t>
      </w:r>
    </w:p>
    <w:p w:rsidR="00955C42" w:rsidRDefault="00955C42">
      <w:pPr>
        <w:jc w:val="left"/>
        <w:rPr>
          <w:i/>
          <w:iCs/>
          <w:color w:val="000000"/>
          <w:sz w:val="24"/>
          <w:szCs w:val="24"/>
        </w:rPr>
      </w:pPr>
      <w:r>
        <w:rPr>
          <w:i/>
          <w:iCs/>
        </w:rPr>
        <w:br w:type="page"/>
      </w:r>
    </w:p>
    <w:p w:rsidR="00955C42" w:rsidRPr="0036354B" w:rsidRDefault="00955C42" w:rsidP="00955C42">
      <w:pPr>
        <w:pStyle w:val="Default"/>
        <w:jc w:val="both"/>
        <w:rPr>
          <w:rFonts w:ascii="Calibri" w:hAnsi="Calibri"/>
        </w:rPr>
      </w:pPr>
      <w:r w:rsidRPr="0036354B">
        <w:rPr>
          <w:rFonts w:ascii="Calibri" w:hAnsi="Calibri"/>
          <w:i/>
          <w:iCs/>
        </w:rPr>
        <w:lastRenderedPageBreak/>
        <w:t xml:space="preserve">Figure 3.1: </w:t>
      </w:r>
      <w:r w:rsidRPr="0036354B">
        <w:rPr>
          <w:rFonts w:ascii="Calibri" w:hAnsi="Calibri"/>
        </w:rPr>
        <w:t>Profitability decomposition into risk management Variables</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Pr>
          <w:rFonts w:ascii="Calibri" w:hAnsi="Calibri"/>
          <w:noProof/>
        </w:rPr>
        <w:pict>
          <v:group id="Group 17" o:spid="_x0000_s1026" style="position:absolute;left:0;text-align:left;margin-left:-30.85pt;margin-top:5.75pt;width:420.75pt;height:214.05pt;z-index:251660288" coordsize="63460,32348">
            <v:rect id="Rectangle 2" o:spid="_x0000_s1027" style="position:absolute;left:21358;width:16752;height:3048;visibility:visible;v-text-anchor:middle" strokeweight="2pt">
              <v:textbox style="mso-next-textbox:#Rectangle 2">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ROE</w:t>
                    </w:r>
                  </w:p>
                </w:txbxContent>
              </v:textbox>
            </v:rect>
            <v:rect id="Rectangle 3" o:spid="_x0000_s1028" style="position:absolute;left:5186;top:9007;width:14255;height:3048;visibility:visible;v-text-anchor:middle" strokeweight="2pt">
              <v:textbox style="mso-next-textbox:#Rectangle 3">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ROA</w:t>
                    </w:r>
                  </w:p>
                </w:txbxContent>
              </v:textbox>
            </v:rect>
            <v:rect id="Rectangle 4" o:spid="_x0000_s1029" style="position:absolute;left:18219;top:18219;width:14567;height:3048;visibility:visible;v-text-anchor:middle" strokeweight="2pt">
              <v:textbox style="mso-next-textbox:#Rectangle 4">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NNIM</w:t>
                    </w:r>
                  </w:p>
                  <w:p w:rsidR="00955C42" w:rsidRPr="005B42CB" w:rsidRDefault="00955C42" w:rsidP="00955C42">
                    <w:pPr>
                      <w:jc w:val="center"/>
                      <w:rPr>
                        <w:rFonts w:ascii="Times New Roman" w:hAnsi="Times New Roman"/>
                        <w:sz w:val="24"/>
                        <w:szCs w:val="24"/>
                      </w:rPr>
                    </w:pPr>
                  </w:p>
                </w:txbxContent>
              </v:textbox>
            </v:rect>
            <v:rect id="Rectangle 5" o:spid="_x0000_s1030" style="position:absolute;top:18219;width:14979;height:3048;visibility:visible;v-text-anchor:middle" strokeweight="2pt">
              <v:textbox style="mso-next-textbox:#Rectangle 5">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NETIM</w:t>
                    </w:r>
                  </w:p>
                  <w:p w:rsidR="00955C42" w:rsidRPr="005B42CB" w:rsidRDefault="00955C42" w:rsidP="00955C42">
                    <w:pPr>
                      <w:jc w:val="center"/>
                      <w:rPr>
                        <w:rFonts w:ascii="Times New Roman" w:hAnsi="Times New Roman"/>
                        <w:sz w:val="24"/>
                        <w:szCs w:val="24"/>
                      </w:rPr>
                    </w:pPr>
                  </w:p>
                </w:txbxContent>
              </v:textbox>
            </v:rect>
            <v:rect id="Rectangle 6" o:spid="_x0000_s1031" style="position:absolute;left:36030;top:9007;width:14363;height:3048;visibility:visible;v-text-anchor:middle" strokeweight="2pt">
              <v:textbox style="mso-next-textbox:#Rectangle 6">
                <w:txbxContent>
                  <w:p w:rsidR="00955C42" w:rsidRPr="005B42CB" w:rsidRDefault="00955C42" w:rsidP="00955C42">
                    <w:pPr>
                      <w:jc w:val="center"/>
                      <w:rPr>
                        <w:rFonts w:ascii="Times New Roman" w:hAnsi="Times New Roman"/>
                        <w:sz w:val="24"/>
                        <w:szCs w:val="24"/>
                      </w:rPr>
                    </w:pPr>
                    <w:r>
                      <w:rPr>
                        <w:rFonts w:ascii="Times New Roman" w:hAnsi="Times New Roman"/>
                        <w:sz w:val="24"/>
                        <w:szCs w:val="24"/>
                      </w:rPr>
                      <w:t xml:space="preserve">CAR </w:t>
                    </w:r>
                  </w:p>
                </w:txbxContent>
              </v:textbox>
            </v:rect>
            <v:rect id="Rectangle 7" o:spid="_x0000_s1032" style="position:absolute;left:35142;top:18219;width:15298;height:3048;visibility:visible;v-text-anchor:middle" strokeweight="2pt">
              <v:textbox style="mso-next-textbox:#Rectangle 7">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PROV</w:t>
                    </w:r>
                  </w:p>
                  <w:p w:rsidR="00955C42" w:rsidRPr="005B42CB" w:rsidRDefault="00955C42" w:rsidP="00955C42">
                    <w:pPr>
                      <w:jc w:val="center"/>
                      <w:rPr>
                        <w:rFonts w:ascii="Times New Roman" w:hAnsi="Times New Roman"/>
                        <w:sz w:val="24"/>
                        <w:szCs w:val="24"/>
                      </w:rPr>
                    </w:pP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11464;top:3070;width:18091;height:5715;flip:x;visibility:visible" o:connectortype="straight">
              <v:stroke endarrow="open"/>
            </v:shape>
            <v:shape id="Straight Arrow Connector 9" o:spid="_x0000_s1034" type="#_x0000_t32" style="position:absolute;left:29001;top:3207;width:13811;height:5619;visibility:visible" o:connectortype="straight">
              <v:stroke endarrow="open"/>
            </v:shape>
            <v:shape id="Straight Arrow Connector 10" o:spid="_x0000_s1035" type="#_x0000_t32" style="position:absolute;left:6141;top:12214;width:11240;height:6001;flip:x;visibility:visible" o:connectortype="straight">
              <v:stroke endarrow="open"/>
            </v:shape>
            <v:shape id="Straight Arrow Connector 11" o:spid="_x0000_s1036" type="#_x0000_t32" style="position:absolute;left:17332;top:12214;width:7906;height:6001;visibility:visible" o:connectortype="straight">
              <v:stroke endarrow="open"/>
            </v:shape>
            <v:shape id="Straight Arrow Connector 12" o:spid="_x0000_s1037" type="#_x0000_t32" style="position:absolute;left:17332;top:12214;width:25432;height:5525;visibility:visible" o:connectortype="straight">
              <v:stroke endarrow="open"/>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3" o:spid="_x0000_s1038" type="#_x0000_t79" style="position:absolute;left:409;top:23678;width:13214;height:8192;visibility:visible;v-text-anchor:middle" adj="7565,7453,5400,9126" strokeweight="2pt">
              <v:textbox style="mso-next-textbox:#Up Arrow Callout 13">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Interest rate risk management</w:t>
                    </w:r>
                  </w:p>
                </w:txbxContent>
              </v:textbox>
            </v:shape>
            <v:shape id="Up Arrow Callout 14" o:spid="_x0000_s1039" type="#_x0000_t79" style="position:absolute;left:36030;top:24156;width:13214;height:8192;visibility:visible;v-text-anchor:middle" adj="7565,7453,5400,9126" strokeweight="2pt">
              <v:textbox style="mso-next-textbox:#Up Arrow Callout 14">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 xml:space="preserve">Credit risk management </w:t>
                    </w:r>
                  </w:p>
                </w:txbxContent>
              </v:textbox>
            </v:shape>
            <v:shape id="Up Arrow Callout 15" o:spid="_x0000_s1040" type="#_x0000_t79" style="position:absolute;left:18219;top:24156;width:13215;height:8192;visibility:visible;v-text-anchor:middle" adj="7565,7453,5400,9126" strokeweight="2pt">
              <v:textbox style="mso-next-textbox:#Up Arrow Callout 15">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Bank income diversification</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6" o:spid="_x0000_s1041" type="#_x0000_t77" style="position:absolute;left:51179;top:6346;width:12281;height:9144;visibility:visible;v-text-anchor:middle" adj="7565,,4021" strokeweight="2pt">
              <v:textbox style="mso-next-textbox:#Left Arrow Callout 16">
                <w:txbxContent>
                  <w:p w:rsidR="00955C42" w:rsidRPr="005B42CB" w:rsidRDefault="00955C42" w:rsidP="00955C42">
                    <w:pPr>
                      <w:jc w:val="center"/>
                      <w:rPr>
                        <w:rFonts w:ascii="Times New Roman" w:hAnsi="Times New Roman"/>
                        <w:sz w:val="24"/>
                        <w:szCs w:val="24"/>
                      </w:rPr>
                    </w:pPr>
                    <w:r w:rsidRPr="005B42CB">
                      <w:rPr>
                        <w:rFonts w:ascii="Times New Roman" w:hAnsi="Times New Roman"/>
                        <w:sz w:val="24"/>
                        <w:szCs w:val="24"/>
                      </w:rPr>
                      <w:t>Solvency risk management</w:t>
                    </w:r>
                  </w:p>
                </w:txbxContent>
              </v:textbox>
            </v:shape>
          </v:group>
        </w:pict>
      </w:r>
    </w:p>
    <w:p w:rsidR="00955C42" w:rsidRPr="0036354B"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p>
    <w:p w:rsidR="00955C42" w:rsidRPr="0036354B" w:rsidRDefault="00955C42" w:rsidP="00955C42">
      <w:pPr>
        <w:tabs>
          <w:tab w:val="left" w:pos="8220"/>
        </w:tabs>
        <w:spacing w:after="0" w:line="240" w:lineRule="auto"/>
        <w:rPr>
          <w:sz w:val="24"/>
          <w:szCs w:val="24"/>
        </w:rPr>
      </w:pPr>
      <w:r w:rsidRPr="0036354B">
        <w:rPr>
          <w:sz w:val="24"/>
          <w:szCs w:val="24"/>
        </w:rPr>
        <w:tab/>
      </w:r>
    </w:p>
    <w:p w:rsidR="00955C42" w:rsidRPr="0036354B" w:rsidRDefault="00955C42" w:rsidP="00955C42">
      <w:pPr>
        <w:tabs>
          <w:tab w:val="left" w:pos="8220"/>
        </w:tabs>
        <w:spacing w:after="0" w:line="240" w:lineRule="auto"/>
        <w:rPr>
          <w:i/>
          <w:iCs/>
          <w:sz w:val="24"/>
          <w:szCs w:val="24"/>
        </w:rPr>
      </w:pPr>
    </w:p>
    <w:p w:rsidR="00955C42" w:rsidRPr="0036354B" w:rsidRDefault="00955C42" w:rsidP="00955C42">
      <w:pPr>
        <w:tabs>
          <w:tab w:val="left" w:pos="8220"/>
        </w:tabs>
        <w:spacing w:after="0" w:line="240" w:lineRule="auto"/>
        <w:rPr>
          <w:i/>
          <w:iCs/>
          <w:sz w:val="24"/>
          <w:szCs w:val="24"/>
        </w:rPr>
      </w:pPr>
    </w:p>
    <w:p w:rsidR="00955C42" w:rsidRPr="0036354B" w:rsidRDefault="00955C42" w:rsidP="00955C42">
      <w:pPr>
        <w:tabs>
          <w:tab w:val="left" w:pos="8220"/>
        </w:tabs>
        <w:spacing w:after="0" w:line="240" w:lineRule="auto"/>
        <w:rPr>
          <w:i/>
          <w:iCs/>
          <w:sz w:val="24"/>
          <w:szCs w:val="24"/>
        </w:rPr>
      </w:pPr>
    </w:p>
    <w:p w:rsidR="00955C42" w:rsidRDefault="00955C42" w:rsidP="00955C42">
      <w:pPr>
        <w:tabs>
          <w:tab w:val="left" w:pos="8220"/>
        </w:tabs>
        <w:spacing w:after="0" w:line="240" w:lineRule="auto"/>
        <w:rPr>
          <w:i/>
          <w:iCs/>
          <w:sz w:val="24"/>
          <w:szCs w:val="24"/>
        </w:rPr>
      </w:pPr>
    </w:p>
    <w:p w:rsidR="00955C42" w:rsidRDefault="00955C42" w:rsidP="00955C42">
      <w:pPr>
        <w:tabs>
          <w:tab w:val="left" w:pos="8220"/>
        </w:tabs>
        <w:spacing w:after="0" w:line="240" w:lineRule="auto"/>
        <w:rPr>
          <w:i/>
          <w:iCs/>
          <w:sz w:val="24"/>
          <w:szCs w:val="24"/>
        </w:rPr>
      </w:pPr>
    </w:p>
    <w:p w:rsidR="00955C42" w:rsidRDefault="00955C42" w:rsidP="00955C42">
      <w:pPr>
        <w:tabs>
          <w:tab w:val="left" w:pos="8220"/>
        </w:tabs>
        <w:spacing w:after="0" w:line="240" w:lineRule="auto"/>
        <w:rPr>
          <w:i/>
          <w:iCs/>
          <w:sz w:val="24"/>
          <w:szCs w:val="24"/>
        </w:rPr>
      </w:pPr>
    </w:p>
    <w:p w:rsidR="00955C42" w:rsidRDefault="00955C42" w:rsidP="00955C42">
      <w:pPr>
        <w:tabs>
          <w:tab w:val="left" w:pos="8220"/>
        </w:tabs>
        <w:spacing w:after="0" w:line="240" w:lineRule="auto"/>
        <w:rPr>
          <w:i/>
          <w:iCs/>
          <w:sz w:val="24"/>
          <w:szCs w:val="24"/>
        </w:rPr>
      </w:pPr>
    </w:p>
    <w:p w:rsidR="00955C42" w:rsidRDefault="00955C42" w:rsidP="00955C42">
      <w:pPr>
        <w:tabs>
          <w:tab w:val="left" w:pos="8220"/>
        </w:tabs>
        <w:spacing w:after="0" w:line="240" w:lineRule="auto"/>
        <w:rPr>
          <w:i/>
          <w:iCs/>
          <w:sz w:val="24"/>
          <w:szCs w:val="24"/>
        </w:rPr>
      </w:pPr>
    </w:p>
    <w:p w:rsidR="00955C42" w:rsidRDefault="00955C42" w:rsidP="00955C42">
      <w:pPr>
        <w:tabs>
          <w:tab w:val="left" w:pos="8220"/>
        </w:tabs>
        <w:spacing w:after="0" w:line="240" w:lineRule="auto"/>
        <w:rPr>
          <w:i/>
          <w:iCs/>
          <w:sz w:val="24"/>
          <w:szCs w:val="24"/>
        </w:rPr>
      </w:pPr>
    </w:p>
    <w:p w:rsidR="00955C42" w:rsidRPr="00955C42" w:rsidRDefault="00955C42" w:rsidP="00955C42">
      <w:pPr>
        <w:tabs>
          <w:tab w:val="left" w:pos="8220"/>
        </w:tabs>
        <w:spacing w:after="0" w:line="240" w:lineRule="auto"/>
        <w:rPr>
          <w:b/>
          <w:sz w:val="24"/>
          <w:szCs w:val="24"/>
        </w:rPr>
      </w:pPr>
      <w:r w:rsidRPr="00955C42">
        <w:rPr>
          <w:b/>
          <w:i/>
          <w:iCs/>
          <w:sz w:val="24"/>
          <w:szCs w:val="24"/>
        </w:rPr>
        <w:t>Source:</w:t>
      </w:r>
      <w:r w:rsidRPr="00955C42">
        <w:rPr>
          <w:b/>
          <w:sz w:val="24"/>
          <w:szCs w:val="24"/>
        </w:rPr>
        <w:t xml:space="preserve"> </w:t>
      </w:r>
      <w:proofErr w:type="spellStart"/>
      <w:r w:rsidRPr="00955C42">
        <w:rPr>
          <w:b/>
          <w:sz w:val="24"/>
          <w:szCs w:val="24"/>
        </w:rPr>
        <w:t>Sensarma</w:t>
      </w:r>
      <w:proofErr w:type="spellEnd"/>
      <w:r w:rsidRPr="00955C42">
        <w:rPr>
          <w:b/>
          <w:sz w:val="24"/>
          <w:szCs w:val="24"/>
        </w:rPr>
        <w:t xml:space="preserve"> and </w:t>
      </w:r>
      <w:proofErr w:type="spellStart"/>
      <w:r w:rsidRPr="00955C42">
        <w:rPr>
          <w:b/>
          <w:sz w:val="24"/>
          <w:szCs w:val="24"/>
        </w:rPr>
        <w:t>Jayadev</w:t>
      </w:r>
      <w:proofErr w:type="spellEnd"/>
      <w:r w:rsidRPr="00955C42">
        <w:rPr>
          <w:b/>
          <w:sz w:val="24"/>
          <w:szCs w:val="24"/>
        </w:rPr>
        <w:t xml:space="preserve"> (2009)</w:t>
      </w:r>
    </w:p>
    <w:p w:rsidR="00955C42" w:rsidRDefault="00955C42" w:rsidP="00955C42">
      <w:pPr>
        <w:tabs>
          <w:tab w:val="left" w:pos="8220"/>
        </w:tabs>
        <w:spacing w:after="0" w:line="240" w:lineRule="auto"/>
        <w:rPr>
          <w:sz w:val="24"/>
          <w:szCs w:val="24"/>
        </w:rPr>
      </w:pPr>
    </w:p>
    <w:p w:rsidR="00955C42" w:rsidRPr="0036354B" w:rsidRDefault="00955C42" w:rsidP="00955C42">
      <w:pPr>
        <w:tabs>
          <w:tab w:val="left" w:pos="8220"/>
        </w:tabs>
        <w:spacing w:after="0" w:line="240" w:lineRule="auto"/>
        <w:rPr>
          <w:sz w:val="24"/>
          <w:szCs w:val="24"/>
        </w:rPr>
      </w:pPr>
      <w:r w:rsidRPr="0036354B">
        <w:rPr>
          <w:sz w:val="24"/>
          <w:szCs w:val="24"/>
        </w:rPr>
        <w:t>This study also used</w:t>
      </w:r>
      <w:r>
        <w:rPr>
          <w:sz w:val="24"/>
          <w:szCs w:val="24"/>
        </w:rPr>
        <w:t xml:space="preserve"> </w:t>
      </w:r>
      <w:r w:rsidRPr="0036354B">
        <w:rPr>
          <w:sz w:val="24"/>
          <w:szCs w:val="24"/>
        </w:rPr>
        <w:t xml:space="preserve">the above framework (see figure 3.1) to identify four risk management variables of Sri Lankan listed banks and subsequently to investigate the relationship between bank risk management capability and stock returns. The theoretical justification for the </w:t>
      </w:r>
      <w:proofErr w:type="spellStart"/>
      <w:r w:rsidRPr="0036354B">
        <w:rPr>
          <w:sz w:val="24"/>
          <w:szCs w:val="24"/>
        </w:rPr>
        <w:t>operationalization</w:t>
      </w:r>
      <w:proofErr w:type="spellEnd"/>
      <w:r w:rsidRPr="0036354B">
        <w:rPr>
          <w:sz w:val="24"/>
          <w:szCs w:val="24"/>
        </w:rPr>
        <w:t xml:space="preserve"> of independent and dependent variables is discussed in the methodology section.  </w:t>
      </w:r>
    </w:p>
    <w:p w:rsidR="00955C42" w:rsidRDefault="00955C42" w:rsidP="00955C42">
      <w:pPr>
        <w:tabs>
          <w:tab w:val="left" w:pos="8220"/>
        </w:tabs>
        <w:spacing w:after="0" w:line="240" w:lineRule="auto"/>
        <w:rPr>
          <w:b/>
          <w:sz w:val="24"/>
          <w:szCs w:val="24"/>
        </w:rPr>
      </w:pPr>
    </w:p>
    <w:p w:rsidR="00955C42" w:rsidRPr="0036354B" w:rsidRDefault="00955C42" w:rsidP="00955C42">
      <w:pPr>
        <w:tabs>
          <w:tab w:val="left" w:pos="8220"/>
        </w:tabs>
        <w:spacing w:after="0" w:line="240" w:lineRule="auto"/>
        <w:jc w:val="left"/>
        <w:rPr>
          <w:sz w:val="24"/>
          <w:szCs w:val="24"/>
        </w:rPr>
      </w:pPr>
      <w:r w:rsidRPr="0036354B">
        <w:rPr>
          <w:b/>
          <w:sz w:val="24"/>
          <w:szCs w:val="24"/>
        </w:rPr>
        <w:t xml:space="preserve">4. </w:t>
      </w:r>
      <w:r>
        <w:rPr>
          <w:b/>
          <w:sz w:val="24"/>
          <w:szCs w:val="24"/>
        </w:rPr>
        <w:t>Research m</w:t>
      </w:r>
      <w:r w:rsidRPr="0036354B">
        <w:rPr>
          <w:b/>
          <w:sz w:val="24"/>
          <w:szCs w:val="24"/>
        </w:rPr>
        <w:t>ethodology</w:t>
      </w:r>
    </w:p>
    <w:p w:rsidR="00955C42" w:rsidRPr="00BE7142" w:rsidRDefault="00955C42" w:rsidP="00955C42">
      <w:pPr>
        <w:tabs>
          <w:tab w:val="left" w:pos="8220"/>
        </w:tabs>
        <w:spacing w:after="0" w:line="240" w:lineRule="auto"/>
        <w:rPr>
          <w:b/>
          <w:i/>
          <w:sz w:val="24"/>
          <w:szCs w:val="24"/>
        </w:rPr>
      </w:pPr>
      <w:r w:rsidRPr="00BE7142">
        <w:rPr>
          <w:b/>
          <w:i/>
          <w:sz w:val="24"/>
          <w:szCs w:val="24"/>
        </w:rPr>
        <w:t>4.1 Data and sample</w:t>
      </w:r>
    </w:p>
    <w:p w:rsidR="00955C42" w:rsidRDefault="00955C42" w:rsidP="00955C42">
      <w:pPr>
        <w:spacing w:after="0" w:line="240" w:lineRule="auto"/>
        <w:rPr>
          <w:sz w:val="24"/>
          <w:szCs w:val="24"/>
        </w:rPr>
      </w:pPr>
      <w:proofErr w:type="gramStart"/>
      <w:r w:rsidRPr="0036354B">
        <w:rPr>
          <w:sz w:val="24"/>
          <w:szCs w:val="24"/>
        </w:rPr>
        <w:t>Eight(</w:t>
      </w:r>
      <w:proofErr w:type="gramEnd"/>
      <w:r w:rsidRPr="0036354B">
        <w:rPr>
          <w:sz w:val="24"/>
          <w:szCs w:val="24"/>
        </w:rPr>
        <w:t>08) listed commercial banks that are listed in Colombo Stock Exchange were selected out of ten (10) listed commercial banks as the sample and this data was collected for the period from 2006 to 2018. Two (02</w:t>
      </w:r>
      <w:proofErr w:type="gramStart"/>
      <w:r w:rsidRPr="0036354B">
        <w:rPr>
          <w:sz w:val="24"/>
          <w:szCs w:val="24"/>
        </w:rPr>
        <w:t>)listed</w:t>
      </w:r>
      <w:proofErr w:type="gramEnd"/>
      <w:r w:rsidRPr="0036354B">
        <w:rPr>
          <w:sz w:val="24"/>
          <w:szCs w:val="24"/>
        </w:rPr>
        <w:t xml:space="preserve"> commercial banks were eliminated due to the unavailability of data for the sample period. Listed licensed specialized banks (LSB) and development banks were excluded from the sample since there are regulatory mismatches among them and licensed commercial banks.</w:t>
      </w:r>
      <w:r w:rsidRPr="0036354B">
        <w:rPr>
          <w:color w:val="000000"/>
          <w:sz w:val="24"/>
          <w:szCs w:val="24"/>
        </w:rPr>
        <w:t xml:space="preserve"> And also state own commercial banks were not considered since they are not listed in the CSE. </w:t>
      </w:r>
      <w:r w:rsidRPr="0036354B">
        <w:rPr>
          <w:sz w:val="24"/>
          <w:szCs w:val="24"/>
        </w:rPr>
        <w:t>The study used secondary sources of data from published bank annual reports and CSE data depositary of 2018.</w:t>
      </w:r>
    </w:p>
    <w:p w:rsidR="00955C42" w:rsidRPr="0036354B" w:rsidRDefault="00955C42" w:rsidP="00955C42">
      <w:pPr>
        <w:spacing w:after="0" w:line="240" w:lineRule="auto"/>
        <w:rPr>
          <w:sz w:val="24"/>
          <w:szCs w:val="24"/>
        </w:rPr>
      </w:pPr>
    </w:p>
    <w:p w:rsidR="00955C42" w:rsidRPr="00BE7142" w:rsidRDefault="00955C42" w:rsidP="00955C42">
      <w:pPr>
        <w:tabs>
          <w:tab w:val="left" w:pos="8220"/>
        </w:tabs>
        <w:spacing w:after="0" w:line="240" w:lineRule="auto"/>
        <w:rPr>
          <w:b/>
          <w:i/>
          <w:sz w:val="24"/>
          <w:szCs w:val="24"/>
        </w:rPr>
      </w:pPr>
      <w:r w:rsidRPr="00BE7142">
        <w:rPr>
          <w:b/>
          <w:i/>
          <w:sz w:val="24"/>
          <w:szCs w:val="24"/>
        </w:rPr>
        <w:t xml:space="preserve">4.2 </w:t>
      </w:r>
      <w:proofErr w:type="spellStart"/>
      <w:r w:rsidRPr="00BE7142">
        <w:rPr>
          <w:b/>
          <w:i/>
          <w:sz w:val="24"/>
          <w:szCs w:val="24"/>
        </w:rPr>
        <w:t>Operationalization</w:t>
      </w:r>
      <w:proofErr w:type="spellEnd"/>
      <w:r w:rsidRPr="00BE7142">
        <w:rPr>
          <w:b/>
          <w:i/>
          <w:sz w:val="24"/>
          <w:szCs w:val="24"/>
        </w:rPr>
        <w:t xml:space="preserve"> of variables</w:t>
      </w:r>
    </w:p>
    <w:p w:rsidR="00955C42" w:rsidRPr="0036354B" w:rsidRDefault="00955C42" w:rsidP="00955C42">
      <w:pPr>
        <w:tabs>
          <w:tab w:val="left" w:pos="8220"/>
        </w:tabs>
        <w:spacing w:after="0" w:line="240" w:lineRule="auto"/>
        <w:rPr>
          <w:sz w:val="24"/>
          <w:szCs w:val="24"/>
        </w:rPr>
      </w:pPr>
      <w:r w:rsidRPr="0036354B">
        <w:rPr>
          <w:sz w:val="24"/>
          <w:szCs w:val="24"/>
        </w:rPr>
        <w:t xml:space="preserve">The </w:t>
      </w:r>
      <w:proofErr w:type="spellStart"/>
      <w:r w:rsidRPr="0036354B">
        <w:rPr>
          <w:sz w:val="24"/>
          <w:szCs w:val="24"/>
        </w:rPr>
        <w:t>operationalization</w:t>
      </w:r>
      <w:proofErr w:type="spellEnd"/>
      <w:r w:rsidRPr="0036354B">
        <w:rPr>
          <w:sz w:val="24"/>
          <w:szCs w:val="24"/>
        </w:rPr>
        <w:t xml:space="preserve"> of variables provides the identification of independent, dependent and control variables, justification for variables and measurement of variables.</w:t>
      </w:r>
    </w:p>
    <w:p w:rsidR="00955C42" w:rsidRPr="0036354B" w:rsidRDefault="00955C42" w:rsidP="00955C42">
      <w:pPr>
        <w:pStyle w:val="Default"/>
        <w:jc w:val="both"/>
        <w:rPr>
          <w:rFonts w:ascii="Calibri" w:hAnsi="Calibri"/>
          <w:b/>
          <w:bCs/>
        </w:rPr>
      </w:pPr>
    </w:p>
    <w:p w:rsidR="00955C42" w:rsidRDefault="00955C42">
      <w:pPr>
        <w:jc w:val="left"/>
        <w:rPr>
          <w:b/>
          <w:bCs/>
          <w:i/>
          <w:color w:val="000000"/>
          <w:sz w:val="24"/>
          <w:szCs w:val="24"/>
        </w:rPr>
      </w:pPr>
      <w:r>
        <w:rPr>
          <w:b/>
          <w:bCs/>
          <w:i/>
        </w:rPr>
        <w:br w:type="page"/>
      </w:r>
    </w:p>
    <w:p w:rsidR="00955C42" w:rsidRPr="00BE7142" w:rsidRDefault="00955C42" w:rsidP="00955C42">
      <w:pPr>
        <w:pStyle w:val="Default"/>
        <w:jc w:val="both"/>
        <w:rPr>
          <w:rFonts w:ascii="Calibri" w:hAnsi="Calibri"/>
          <w:b/>
          <w:bCs/>
          <w:i/>
        </w:rPr>
      </w:pPr>
      <w:r w:rsidRPr="00BE7142">
        <w:rPr>
          <w:rFonts w:ascii="Calibri" w:hAnsi="Calibri"/>
          <w:b/>
          <w:bCs/>
          <w:i/>
        </w:rPr>
        <w:lastRenderedPageBreak/>
        <w:t xml:space="preserve">4.2.1 Interest Rate Risk Management (NETIM) </w:t>
      </w:r>
    </w:p>
    <w:p w:rsidR="00955C42" w:rsidRPr="0036354B" w:rsidRDefault="00955C42" w:rsidP="00955C42">
      <w:pPr>
        <w:pStyle w:val="Default"/>
        <w:jc w:val="both"/>
        <w:rPr>
          <w:rFonts w:ascii="Calibri" w:hAnsi="Calibri"/>
        </w:rPr>
      </w:pPr>
      <w:r w:rsidRPr="0036354B">
        <w:rPr>
          <w:rFonts w:ascii="Calibri" w:hAnsi="Calibri"/>
        </w:rPr>
        <w:t>In broad terms, interest rate risk is the risk that changes in the market interest rates impact the profitability of the eco</w:t>
      </w:r>
      <w:r>
        <w:rPr>
          <w:rFonts w:ascii="Calibri" w:hAnsi="Calibri"/>
        </w:rPr>
        <w:t>nomic value of the bank (</w:t>
      </w:r>
      <w:proofErr w:type="spellStart"/>
      <w:r w:rsidRPr="0036354B">
        <w:rPr>
          <w:rFonts w:ascii="Calibri" w:hAnsi="Calibri"/>
        </w:rPr>
        <w:t>Sironi</w:t>
      </w:r>
      <w:proofErr w:type="spellEnd"/>
      <w:r>
        <w:rPr>
          <w:rFonts w:ascii="Calibri" w:hAnsi="Calibri"/>
        </w:rPr>
        <w:t xml:space="preserve">&amp; </w:t>
      </w:r>
      <w:proofErr w:type="spellStart"/>
      <w:r>
        <w:rPr>
          <w:rFonts w:ascii="Calibri" w:hAnsi="Calibri"/>
        </w:rPr>
        <w:t>Resti</w:t>
      </w:r>
      <w:proofErr w:type="spellEnd"/>
      <w:r w:rsidRPr="0036354B">
        <w:rPr>
          <w:rFonts w:ascii="Calibri" w:hAnsi="Calibri"/>
        </w:rPr>
        <w:t xml:space="preserve">, 2007). Bank earns income from assets and paid interest for liabilities which are having different maturities. The changes in the interest rate affect negatively or positively to net interest income based on the gap position of the bank. </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Asset and Liability management approach suggests that banks which are asset sensitive (positive gap) can derive the advantage of increasing interest rate and banks which are liability sensitive may acquire losses in increasing interest rate. Banks try to maintain a positive or negative gap position as responding to the forecasted change in the interest rate using balance sheet adjustments or off-balance sheet adjustments. Thus banks attempt to mitigate the negative impact of interest rate and try to maximize the advantage of the increasing interest rate. Efficient management of falling interest rates, reduce the possibility of decreasing interest income and efficient management of increasing interest rates increases the interest income. Hence the net interest income represents the bank attempt towards the successful interest rate risk management.</w:t>
      </w:r>
    </w:p>
    <w:p w:rsidR="00955C42" w:rsidRPr="0036354B" w:rsidRDefault="00955C42" w:rsidP="00955C42">
      <w:pPr>
        <w:tabs>
          <w:tab w:val="left" w:pos="8220"/>
        </w:tabs>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Therefore net interest margin (Net Interest Income/Total Assets) shows the interest rate risk management capability of the bank. Thus, NETIM has been taken to measure the interest rate risk management capability of the bank following </w:t>
      </w:r>
      <w:proofErr w:type="spellStart"/>
      <w:r w:rsidRPr="0036354B">
        <w:rPr>
          <w:sz w:val="24"/>
          <w:szCs w:val="24"/>
        </w:rPr>
        <w:t>Sensarma</w:t>
      </w:r>
      <w:proofErr w:type="spellEnd"/>
      <w:r w:rsidRPr="0036354B">
        <w:rPr>
          <w:sz w:val="24"/>
          <w:szCs w:val="24"/>
        </w:rPr>
        <w:t xml:space="preserve"> and </w:t>
      </w:r>
      <w:proofErr w:type="spellStart"/>
      <w:r w:rsidRPr="0036354B">
        <w:rPr>
          <w:sz w:val="24"/>
          <w:szCs w:val="24"/>
        </w:rPr>
        <w:t>Jayadev</w:t>
      </w:r>
      <w:proofErr w:type="spellEnd"/>
      <w:r w:rsidRPr="0036354B">
        <w:rPr>
          <w:sz w:val="24"/>
          <w:szCs w:val="24"/>
        </w:rPr>
        <w:t xml:space="preserve"> (2009)</w:t>
      </w:r>
      <w:r>
        <w:rPr>
          <w:sz w:val="24"/>
          <w:szCs w:val="24"/>
        </w:rPr>
        <w:t xml:space="preserve"> </w:t>
      </w:r>
      <w:proofErr w:type="spellStart"/>
      <w:r>
        <w:rPr>
          <w:sz w:val="24"/>
          <w:szCs w:val="24"/>
        </w:rPr>
        <w:t>Fathi</w:t>
      </w:r>
      <w:proofErr w:type="spellEnd"/>
      <w:r>
        <w:rPr>
          <w:sz w:val="24"/>
          <w:szCs w:val="24"/>
        </w:rPr>
        <w:t xml:space="preserve"> et al.</w:t>
      </w:r>
      <w:r w:rsidRPr="0036354B">
        <w:rPr>
          <w:sz w:val="24"/>
          <w:szCs w:val="24"/>
        </w:rPr>
        <w:t xml:space="preserve"> (2012), </w:t>
      </w:r>
      <w:proofErr w:type="spellStart"/>
      <w:r w:rsidRPr="0036354B">
        <w:rPr>
          <w:sz w:val="24"/>
          <w:szCs w:val="24"/>
        </w:rPr>
        <w:t>Doyran</w:t>
      </w:r>
      <w:proofErr w:type="spellEnd"/>
      <w:r w:rsidRPr="0036354B">
        <w:rPr>
          <w:sz w:val="24"/>
          <w:szCs w:val="24"/>
        </w:rPr>
        <w:t xml:space="preserve"> (2013) and </w:t>
      </w:r>
      <w:proofErr w:type="spellStart"/>
      <w:r w:rsidRPr="0036354B">
        <w:rPr>
          <w:sz w:val="24"/>
          <w:szCs w:val="24"/>
        </w:rPr>
        <w:t>Saeidi</w:t>
      </w:r>
      <w:proofErr w:type="spellEnd"/>
      <w:r w:rsidRPr="0036354B">
        <w:rPr>
          <w:sz w:val="24"/>
          <w:szCs w:val="24"/>
        </w:rPr>
        <w:t xml:space="preserve"> and </w:t>
      </w:r>
      <w:proofErr w:type="spellStart"/>
      <w:r w:rsidRPr="0036354B">
        <w:rPr>
          <w:sz w:val="24"/>
          <w:szCs w:val="24"/>
        </w:rPr>
        <w:t>Kamali</w:t>
      </w:r>
      <w:proofErr w:type="spellEnd"/>
      <w:r w:rsidRPr="0036354B">
        <w:rPr>
          <w:sz w:val="24"/>
          <w:szCs w:val="24"/>
        </w:rPr>
        <w:t xml:space="preserve"> (2016). When deriving NETIM the study considered all kinds of interest income from the income sources including investment in securities and derivatives contracts (off-balance-sheet products) since those are exposed to interest rate risk. The study estimated NETIM as follows: </w:t>
      </w:r>
    </w:p>
    <w:p w:rsidR="00955C42" w:rsidRPr="0036354B" w:rsidRDefault="00955C42" w:rsidP="00955C42">
      <w:pPr>
        <w:tabs>
          <w:tab w:val="left" w:pos="8220"/>
        </w:tabs>
        <w:spacing w:after="0" w:line="240" w:lineRule="auto"/>
        <w:rPr>
          <w:rFonts w:eastAsiaTheme="minorEastAsia"/>
          <w:sz w:val="24"/>
          <w:szCs w:val="24"/>
        </w:rPr>
      </w:pPr>
      <m:oMathPara>
        <m:oMath>
          <m:r>
            <w:rPr>
              <w:rFonts w:ascii="Cambria Math" w:hAnsi="Cambria Math"/>
              <w:sz w:val="24"/>
              <w:szCs w:val="24"/>
            </w:rPr>
            <m:t>NETIM=</m:t>
          </m:r>
          <m:f>
            <m:fPr>
              <m:ctrlPr>
                <w:rPr>
                  <w:rFonts w:ascii="Cambria Math" w:hAnsi="Cambria Math"/>
                  <w:i/>
                  <w:sz w:val="24"/>
                  <w:szCs w:val="24"/>
                </w:rPr>
              </m:ctrlPr>
            </m:fPr>
            <m:num>
              <m:r>
                <w:rPr>
                  <w:rFonts w:ascii="Cambria Math" w:hAnsi="Cambria Math"/>
                  <w:sz w:val="24"/>
                  <w:szCs w:val="24"/>
                </w:rPr>
                <m:t>Net Interest Income</m:t>
              </m:r>
            </m:num>
            <m:den>
              <m:r>
                <w:rPr>
                  <w:rFonts w:ascii="Cambria Math" w:hAnsi="Cambria Math"/>
                  <w:sz w:val="24"/>
                  <w:szCs w:val="24"/>
                </w:rPr>
                <m:t>Average Total Assets</m:t>
              </m:r>
            </m:den>
          </m:f>
        </m:oMath>
      </m:oMathPara>
    </w:p>
    <w:p w:rsidR="00955C42" w:rsidRPr="0036354B" w:rsidRDefault="00955C42" w:rsidP="00955C42">
      <w:pPr>
        <w:pStyle w:val="Default"/>
        <w:jc w:val="both"/>
        <w:rPr>
          <w:rFonts w:ascii="Calibri" w:hAnsi="Calibri"/>
          <w:iCs/>
        </w:rPr>
      </w:pPr>
      <w:r w:rsidRPr="0036354B">
        <w:rPr>
          <w:rFonts w:ascii="Calibri" w:hAnsi="Calibri"/>
          <w:iCs/>
        </w:rPr>
        <w:t xml:space="preserve">The net interest income is the figure stated in the income statement as the difference between interest income and interest expense and the average total asset was estimated by considering both year beginning and year ending total assets in the </w:t>
      </w:r>
      <w:proofErr w:type="spellStart"/>
      <w:r w:rsidRPr="0036354B">
        <w:rPr>
          <w:rFonts w:ascii="Calibri" w:hAnsi="Calibri"/>
          <w:iCs/>
        </w:rPr>
        <w:t>blanacesheet</w:t>
      </w:r>
      <w:proofErr w:type="spellEnd"/>
      <w:r w:rsidRPr="0036354B">
        <w:rPr>
          <w:rFonts w:ascii="Calibri" w:hAnsi="Calibri"/>
          <w:iCs/>
        </w:rPr>
        <w:t>.</w:t>
      </w:r>
    </w:p>
    <w:p w:rsidR="00955C42" w:rsidRPr="0036354B" w:rsidRDefault="00955C42" w:rsidP="00955C42">
      <w:pPr>
        <w:tabs>
          <w:tab w:val="left" w:pos="8220"/>
        </w:tabs>
        <w:spacing w:after="0" w:line="240" w:lineRule="auto"/>
        <w:rPr>
          <w:b/>
          <w:bCs/>
          <w:sz w:val="24"/>
          <w:szCs w:val="24"/>
        </w:rPr>
      </w:pPr>
    </w:p>
    <w:p w:rsidR="00955C42" w:rsidRPr="00BE7142" w:rsidRDefault="00955C42" w:rsidP="00955C42">
      <w:pPr>
        <w:tabs>
          <w:tab w:val="left" w:pos="8220"/>
        </w:tabs>
        <w:spacing w:after="0" w:line="240" w:lineRule="auto"/>
        <w:rPr>
          <w:b/>
          <w:bCs/>
          <w:i/>
          <w:sz w:val="24"/>
          <w:szCs w:val="24"/>
        </w:rPr>
      </w:pPr>
      <w:r w:rsidRPr="00BE7142">
        <w:rPr>
          <w:b/>
          <w:bCs/>
          <w:i/>
          <w:sz w:val="24"/>
          <w:szCs w:val="24"/>
        </w:rPr>
        <w:t>4.2.2 Credit Risk Management (PROV)</w:t>
      </w:r>
    </w:p>
    <w:p w:rsidR="00955C42" w:rsidRPr="0036354B" w:rsidRDefault="00955C42" w:rsidP="00955C42">
      <w:pPr>
        <w:spacing w:after="0" w:line="240" w:lineRule="auto"/>
        <w:rPr>
          <w:sz w:val="24"/>
          <w:szCs w:val="24"/>
        </w:rPr>
      </w:pPr>
      <w:r w:rsidRPr="0036354B">
        <w:rPr>
          <w:sz w:val="24"/>
          <w:szCs w:val="24"/>
        </w:rPr>
        <w:t xml:space="preserve">Credit risk is the possibility that an unexpected change in counterparty's creditworthiness may generate unexpected changes in the market value of the associated credit </w:t>
      </w:r>
      <w:proofErr w:type="gramStart"/>
      <w:r w:rsidRPr="0036354B">
        <w:rPr>
          <w:sz w:val="24"/>
          <w:szCs w:val="24"/>
        </w:rPr>
        <w:t>exposure(</w:t>
      </w:r>
      <w:proofErr w:type="spellStart"/>
      <w:proofErr w:type="gramEnd"/>
      <w:r w:rsidRPr="0036354B">
        <w:rPr>
          <w:sz w:val="24"/>
          <w:szCs w:val="24"/>
        </w:rPr>
        <w:t>Sironi</w:t>
      </w:r>
      <w:proofErr w:type="spellEnd"/>
      <w:r>
        <w:rPr>
          <w:sz w:val="24"/>
          <w:szCs w:val="24"/>
        </w:rPr>
        <w:t>&amp; Resti,</w:t>
      </w:r>
      <w:r w:rsidRPr="0036354B">
        <w:rPr>
          <w:sz w:val="24"/>
          <w:szCs w:val="24"/>
        </w:rPr>
        <w:t>2007). Avoiding from credit risk by banks involves both from customer perspective and bank portfolio perspective. Banks evaluate their credit risk by analyzing the historical loss rate, forecasting future expected loss rate and preparing for future losses by making loan loss provisioning. On-balance sheet strategies for managing credit risk include increasing provisions for all anticipated loan losses.</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Even though the loan loss provisions reduce the bank profitability the amount of provisions shows the ability of the banks in preparing for future loan losses. Therefore provision as a percentage of total assets (Provisions/Total Assets) shows the credit risk management capability of banks, accordance with </w:t>
      </w:r>
      <w:proofErr w:type="spellStart"/>
      <w:r w:rsidRPr="0036354B">
        <w:rPr>
          <w:sz w:val="24"/>
          <w:szCs w:val="24"/>
        </w:rPr>
        <w:t>Sensarma</w:t>
      </w:r>
      <w:proofErr w:type="spellEnd"/>
      <w:r w:rsidRPr="0036354B">
        <w:rPr>
          <w:sz w:val="24"/>
          <w:szCs w:val="24"/>
        </w:rPr>
        <w:t xml:space="preserve"> and </w:t>
      </w:r>
      <w:proofErr w:type="spellStart"/>
      <w:r w:rsidRPr="0036354B">
        <w:rPr>
          <w:sz w:val="24"/>
          <w:szCs w:val="24"/>
        </w:rPr>
        <w:t>Jayadev</w:t>
      </w:r>
      <w:proofErr w:type="spellEnd"/>
      <w:r w:rsidRPr="0036354B">
        <w:rPr>
          <w:sz w:val="24"/>
          <w:szCs w:val="24"/>
        </w:rPr>
        <w:t xml:space="preserve"> (2009), </w:t>
      </w:r>
      <w:proofErr w:type="spellStart"/>
      <w:r w:rsidRPr="0036354B">
        <w:rPr>
          <w:sz w:val="24"/>
          <w:szCs w:val="24"/>
        </w:rPr>
        <w:t>Agusman</w:t>
      </w:r>
      <w:proofErr w:type="spellEnd"/>
      <w:r w:rsidRPr="0036354B">
        <w:rPr>
          <w:sz w:val="24"/>
          <w:szCs w:val="24"/>
        </w:rPr>
        <w:t xml:space="preserve"> et al.</w:t>
      </w:r>
      <w:r>
        <w:rPr>
          <w:sz w:val="24"/>
          <w:szCs w:val="24"/>
        </w:rPr>
        <w:t xml:space="preserve"> (2009), </w:t>
      </w:r>
      <w:proofErr w:type="spellStart"/>
      <w:r>
        <w:rPr>
          <w:sz w:val="24"/>
          <w:szCs w:val="24"/>
        </w:rPr>
        <w:lastRenderedPageBreak/>
        <w:t>Fathi</w:t>
      </w:r>
      <w:proofErr w:type="spellEnd"/>
      <w:r>
        <w:rPr>
          <w:sz w:val="24"/>
          <w:szCs w:val="24"/>
        </w:rPr>
        <w:t xml:space="preserve"> at al. </w:t>
      </w:r>
      <w:r w:rsidRPr="0036354B">
        <w:rPr>
          <w:sz w:val="24"/>
          <w:szCs w:val="24"/>
        </w:rPr>
        <w:t xml:space="preserve">(2012), </w:t>
      </w:r>
      <w:proofErr w:type="spellStart"/>
      <w:r w:rsidRPr="0036354B">
        <w:rPr>
          <w:sz w:val="24"/>
          <w:szCs w:val="24"/>
        </w:rPr>
        <w:t>Aghababaei</w:t>
      </w:r>
      <w:proofErr w:type="spellEnd"/>
      <w:r w:rsidRPr="0036354B">
        <w:rPr>
          <w:sz w:val="24"/>
          <w:szCs w:val="24"/>
        </w:rPr>
        <w:t xml:space="preserve"> et al. (2013), </w:t>
      </w:r>
      <w:proofErr w:type="spellStart"/>
      <w:r w:rsidRPr="0036354B">
        <w:rPr>
          <w:sz w:val="24"/>
          <w:szCs w:val="24"/>
        </w:rPr>
        <w:t>Heydari</w:t>
      </w:r>
      <w:proofErr w:type="spellEnd"/>
      <w:r>
        <w:rPr>
          <w:sz w:val="24"/>
          <w:szCs w:val="24"/>
        </w:rPr>
        <w:t xml:space="preserve"> and </w:t>
      </w:r>
      <w:proofErr w:type="spellStart"/>
      <w:r>
        <w:rPr>
          <w:sz w:val="24"/>
          <w:szCs w:val="24"/>
        </w:rPr>
        <w:t>Abdoli</w:t>
      </w:r>
      <w:proofErr w:type="spellEnd"/>
      <w:r>
        <w:rPr>
          <w:sz w:val="24"/>
          <w:szCs w:val="24"/>
        </w:rPr>
        <w:t xml:space="preserve"> </w:t>
      </w:r>
      <w:r w:rsidRPr="0036354B">
        <w:rPr>
          <w:sz w:val="24"/>
          <w:szCs w:val="24"/>
        </w:rPr>
        <w:t xml:space="preserve">(2015) and </w:t>
      </w:r>
      <w:proofErr w:type="spellStart"/>
      <w:r w:rsidRPr="0036354B">
        <w:rPr>
          <w:sz w:val="24"/>
          <w:szCs w:val="24"/>
        </w:rPr>
        <w:t>Saeidi</w:t>
      </w:r>
      <w:proofErr w:type="spellEnd"/>
      <w:r w:rsidRPr="0036354B">
        <w:rPr>
          <w:sz w:val="24"/>
          <w:szCs w:val="24"/>
        </w:rPr>
        <w:t xml:space="preserve"> and </w:t>
      </w:r>
      <w:proofErr w:type="spellStart"/>
      <w:r w:rsidRPr="0036354B">
        <w:rPr>
          <w:sz w:val="24"/>
          <w:szCs w:val="24"/>
        </w:rPr>
        <w:t>Kamali</w:t>
      </w:r>
      <w:proofErr w:type="spellEnd"/>
      <w:r w:rsidRPr="0036354B">
        <w:rPr>
          <w:sz w:val="24"/>
          <w:szCs w:val="24"/>
        </w:rPr>
        <w:t xml:space="preserve"> (2016).</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Accordingly, PROV (loan loss provision to total asset ratio) is considered as a proxy of credit risk management capability which measured as follows.</w:t>
      </w:r>
    </w:p>
    <w:p w:rsidR="00955C42" w:rsidRPr="0036354B" w:rsidRDefault="00955C42" w:rsidP="00955C42">
      <w:pPr>
        <w:tabs>
          <w:tab w:val="left" w:pos="8220"/>
        </w:tabs>
        <w:spacing w:after="0" w:line="240" w:lineRule="auto"/>
        <w:rPr>
          <w:rFonts w:eastAsiaTheme="minorEastAsia"/>
          <w:sz w:val="24"/>
          <w:szCs w:val="24"/>
        </w:rPr>
      </w:pPr>
      <m:oMathPara>
        <m:oMath>
          <m:r>
            <w:rPr>
              <w:rFonts w:ascii="Cambria Math" w:hAnsi="Cambria Math"/>
              <w:sz w:val="24"/>
              <w:szCs w:val="24"/>
            </w:rPr>
            <m:t>PROV=</m:t>
          </m:r>
          <m:f>
            <m:fPr>
              <m:ctrlPr>
                <w:rPr>
                  <w:rFonts w:ascii="Cambria Math" w:hAnsi="Cambria Math"/>
                  <w:i/>
                  <w:sz w:val="24"/>
                  <w:szCs w:val="24"/>
                </w:rPr>
              </m:ctrlPr>
            </m:fPr>
            <m:num>
              <m:r>
                <w:rPr>
                  <w:rFonts w:ascii="Cambria Math" w:hAnsi="Cambria Math"/>
                  <w:sz w:val="24"/>
                  <w:szCs w:val="24"/>
                </w:rPr>
                <m:t>Total Loan Provisions</m:t>
              </m:r>
            </m:num>
            <m:den>
              <m:r>
                <w:rPr>
                  <w:rFonts w:ascii="Cambria Math" w:hAnsi="Cambria Math"/>
                  <w:sz w:val="24"/>
                  <w:szCs w:val="24"/>
                </w:rPr>
                <m:t>Average Total Assets</m:t>
              </m:r>
            </m:den>
          </m:f>
        </m:oMath>
      </m:oMathPara>
    </w:p>
    <w:p w:rsidR="00955C42" w:rsidRDefault="00955C42" w:rsidP="00955C42">
      <w:pPr>
        <w:pStyle w:val="Default"/>
        <w:jc w:val="both"/>
        <w:rPr>
          <w:rFonts w:ascii="Calibri" w:hAnsi="Calibri"/>
          <w:iCs/>
        </w:rPr>
      </w:pPr>
    </w:p>
    <w:p w:rsidR="00955C42" w:rsidRPr="0036354B" w:rsidRDefault="00955C42" w:rsidP="00955C42">
      <w:pPr>
        <w:pStyle w:val="Default"/>
        <w:jc w:val="both"/>
        <w:rPr>
          <w:rFonts w:ascii="Calibri" w:hAnsi="Calibri"/>
          <w:iCs/>
        </w:rPr>
      </w:pPr>
      <w:r w:rsidRPr="0036354B">
        <w:rPr>
          <w:rFonts w:ascii="Calibri" w:hAnsi="Calibri"/>
          <w:iCs/>
        </w:rPr>
        <w:t xml:space="preserve">The provisions are the figure which is stated in the income statement as the loan loss provisions and the average total assets were estimated by considering both year beginning and year ending total assets in the </w:t>
      </w:r>
      <w:proofErr w:type="spellStart"/>
      <w:r w:rsidRPr="0036354B">
        <w:rPr>
          <w:rFonts w:ascii="Calibri" w:hAnsi="Calibri"/>
          <w:iCs/>
        </w:rPr>
        <w:t>blanacesheet</w:t>
      </w:r>
      <w:proofErr w:type="spellEnd"/>
      <w:r w:rsidRPr="0036354B">
        <w:rPr>
          <w:rFonts w:ascii="Calibri" w:hAnsi="Calibri"/>
          <w:iCs/>
        </w:rPr>
        <w:t>.</w:t>
      </w:r>
    </w:p>
    <w:p w:rsidR="00955C42" w:rsidRPr="0036354B" w:rsidRDefault="00955C42" w:rsidP="00955C42">
      <w:pPr>
        <w:tabs>
          <w:tab w:val="left" w:pos="5220"/>
        </w:tabs>
        <w:spacing w:after="0" w:line="240" w:lineRule="auto"/>
        <w:rPr>
          <w:b/>
          <w:iCs/>
          <w:sz w:val="24"/>
          <w:szCs w:val="24"/>
        </w:rPr>
      </w:pPr>
    </w:p>
    <w:p w:rsidR="00955C42" w:rsidRPr="00BE7142" w:rsidRDefault="00955C42" w:rsidP="00955C42">
      <w:pPr>
        <w:tabs>
          <w:tab w:val="left" w:pos="5220"/>
        </w:tabs>
        <w:spacing w:after="0" w:line="240" w:lineRule="auto"/>
        <w:rPr>
          <w:b/>
          <w:i/>
          <w:iCs/>
          <w:sz w:val="24"/>
          <w:szCs w:val="24"/>
        </w:rPr>
      </w:pPr>
      <w:r w:rsidRPr="00BE7142">
        <w:rPr>
          <w:b/>
          <w:i/>
          <w:iCs/>
          <w:sz w:val="24"/>
          <w:szCs w:val="24"/>
        </w:rPr>
        <w:t>4.2.3 Solvency/capital risk management (CAR)</w:t>
      </w:r>
      <w:r w:rsidRPr="00BE7142">
        <w:rPr>
          <w:b/>
          <w:i/>
          <w:iCs/>
          <w:sz w:val="24"/>
          <w:szCs w:val="24"/>
        </w:rPr>
        <w:tab/>
      </w:r>
    </w:p>
    <w:p w:rsidR="00955C42" w:rsidRPr="0036354B" w:rsidRDefault="00955C42" w:rsidP="00955C42">
      <w:pPr>
        <w:spacing w:after="0" w:line="240" w:lineRule="auto"/>
        <w:rPr>
          <w:sz w:val="24"/>
          <w:szCs w:val="24"/>
        </w:rPr>
      </w:pPr>
      <w:r w:rsidRPr="0036354B">
        <w:rPr>
          <w:sz w:val="24"/>
          <w:szCs w:val="24"/>
        </w:rPr>
        <w:t>Solvency refers to an enterprise's capacity to meet its long-term financial commitments. Capital to asset ratio (reciprocal of EM) indicates the protection against the unexpected losses and also implicitly protect the depositor's confidence that the proportion of the bank’s asset that is represented by shareholder’s equity. But it decreases shareholder wealth by reducing the ROE. Therefore in du Pont analysis takes the reciprocal of capital to asset ratio which is called equity multiplier (EM) as an increasing function of ROE. Accordingly increasing EM may increase ROE and it shows lower capital to assets ratio which indicates higher solvency risk. It is argued that stockholders prefer low capital risk, in other words, low EM with an open view for the sustainability of dividend distribution by the bank (Anderson, 2003). Thus, the argument in the study is that shareholders prefer continuous survival of the bank at a minimum solvency risk to get continuous profit distribution. Therefore reciprocal of the EM which means capital adequacy ratio (CAR) shows the bank's attempts towards the mitigation of solvency risk.</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Furthermore, in the literature </w:t>
      </w:r>
      <w:proofErr w:type="spellStart"/>
      <w:r w:rsidRPr="0036354B">
        <w:rPr>
          <w:sz w:val="24"/>
          <w:szCs w:val="24"/>
        </w:rPr>
        <w:t>Fathi</w:t>
      </w:r>
      <w:proofErr w:type="spellEnd"/>
      <w:r>
        <w:rPr>
          <w:sz w:val="24"/>
          <w:szCs w:val="24"/>
        </w:rPr>
        <w:t xml:space="preserve"> et al.</w:t>
      </w:r>
      <w:r w:rsidRPr="0036354B">
        <w:rPr>
          <w:sz w:val="24"/>
          <w:szCs w:val="24"/>
        </w:rPr>
        <w:t xml:space="preserve"> (2012), </w:t>
      </w:r>
      <w:proofErr w:type="spellStart"/>
      <w:r w:rsidRPr="0036354B">
        <w:rPr>
          <w:sz w:val="24"/>
          <w:szCs w:val="24"/>
        </w:rPr>
        <w:t>Olalekan</w:t>
      </w:r>
      <w:proofErr w:type="spellEnd"/>
      <w:r>
        <w:rPr>
          <w:sz w:val="24"/>
          <w:szCs w:val="24"/>
        </w:rPr>
        <w:t xml:space="preserve"> and </w:t>
      </w:r>
      <w:proofErr w:type="spellStart"/>
      <w:r w:rsidRPr="0036354B">
        <w:rPr>
          <w:color w:val="222222"/>
          <w:sz w:val="24"/>
          <w:szCs w:val="24"/>
          <w:shd w:val="clear" w:color="auto" w:fill="FFFFFF"/>
        </w:rPr>
        <w:t>Adeyinka</w:t>
      </w:r>
      <w:proofErr w:type="spellEnd"/>
      <w:r w:rsidRPr="0036354B">
        <w:rPr>
          <w:sz w:val="24"/>
          <w:szCs w:val="24"/>
        </w:rPr>
        <w:t xml:space="preserve"> (2013), </w:t>
      </w:r>
      <w:proofErr w:type="spellStart"/>
      <w:r w:rsidRPr="0036354B">
        <w:rPr>
          <w:sz w:val="24"/>
          <w:szCs w:val="24"/>
        </w:rPr>
        <w:t>Saeidi</w:t>
      </w:r>
      <w:proofErr w:type="spellEnd"/>
      <w:r w:rsidRPr="0036354B">
        <w:rPr>
          <w:sz w:val="24"/>
          <w:szCs w:val="24"/>
        </w:rPr>
        <w:t xml:space="preserve"> and </w:t>
      </w:r>
      <w:proofErr w:type="spellStart"/>
      <w:r w:rsidRPr="0036354B">
        <w:rPr>
          <w:sz w:val="24"/>
          <w:szCs w:val="24"/>
        </w:rPr>
        <w:t>Kamali</w:t>
      </w:r>
      <w:proofErr w:type="spellEnd"/>
      <w:r w:rsidRPr="0036354B">
        <w:rPr>
          <w:sz w:val="24"/>
          <w:szCs w:val="24"/>
        </w:rPr>
        <w:t xml:space="preserve"> (2016) used capital to asset ratio as a measurement for capital/solvency risk.</w:t>
      </w:r>
      <w:r w:rsidRPr="0036354B">
        <w:rPr>
          <w:color w:val="000000" w:themeColor="text1"/>
          <w:sz w:val="24"/>
          <w:szCs w:val="24"/>
        </w:rPr>
        <w:t xml:space="preserve"> </w:t>
      </w:r>
      <w:proofErr w:type="spellStart"/>
      <w:r w:rsidRPr="0036354B">
        <w:rPr>
          <w:color w:val="000000" w:themeColor="text1"/>
          <w:sz w:val="24"/>
          <w:szCs w:val="24"/>
        </w:rPr>
        <w:t>Sensarma</w:t>
      </w:r>
      <w:proofErr w:type="spellEnd"/>
      <w:r w:rsidRPr="0036354B">
        <w:rPr>
          <w:color w:val="000000" w:themeColor="text1"/>
          <w:sz w:val="24"/>
          <w:szCs w:val="24"/>
        </w:rPr>
        <w:t xml:space="preserve"> and </w:t>
      </w:r>
      <w:proofErr w:type="spellStart"/>
      <w:r w:rsidRPr="0036354B">
        <w:rPr>
          <w:color w:val="000000" w:themeColor="text1"/>
          <w:sz w:val="24"/>
          <w:szCs w:val="24"/>
        </w:rPr>
        <w:t>Jayadev</w:t>
      </w:r>
      <w:proofErr w:type="spellEnd"/>
      <w:r w:rsidRPr="0036354B">
        <w:rPr>
          <w:color w:val="000000" w:themeColor="text1"/>
          <w:sz w:val="24"/>
          <w:szCs w:val="24"/>
        </w:rPr>
        <w:t xml:space="preserve"> (2009</w:t>
      </w:r>
      <w:proofErr w:type="gramStart"/>
      <w:r w:rsidRPr="0036354B">
        <w:rPr>
          <w:color w:val="000000" w:themeColor="text1"/>
          <w:sz w:val="24"/>
          <w:szCs w:val="24"/>
        </w:rPr>
        <w:t>)</w:t>
      </w:r>
      <w:r w:rsidRPr="0036354B">
        <w:rPr>
          <w:sz w:val="24"/>
          <w:szCs w:val="24"/>
        </w:rPr>
        <w:t>measured</w:t>
      </w:r>
      <w:proofErr w:type="gramEnd"/>
      <w:r w:rsidRPr="0036354B">
        <w:rPr>
          <w:sz w:val="24"/>
          <w:szCs w:val="24"/>
        </w:rPr>
        <w:t xml:space="preserve"> capital risk using regulatory capital ratios in the Indian banking system.</w:t>
      </w:r>
    </w:p>
    <w:p w:rsidR="00955C42" w:rsidRPr="0036354B" w:rsidRDefault="00955C42" w:rsidP="00955C42">
      <w:pPr>
        <w:spacing w:after="0" w:line="240" w:lineRule="auto"/>
        <w:rPr>
          <w:sz w:val="24"/>
          <w:szCs w:val="24"/>
        </w:rPr>
      </w:pPr>
      <w:r w:rsidRPr="0036354B">
        <w:rPr>
          <w:sz w:val="24"/>
          <w:szCs w:val="24"/>
        </w:rPr>
        <w:t xml:space="preserve">Thus based on the above literature, a study has taken the reciprocal of EM as capital adequacy ratios to measure the solvency risk management capability. The impact of solvency risk management capability was measured using the reciprocal </w:t>
      </w:r>
      <w:proofErr w:type="gramStart"/>
      <w:r w:rsidRPr="0036354B">
        <w:rPr>
          <w:sz w:val="24"/>
          <w:szCs w:val="24"/>
        </w:rPr>
        <w:t>of  EM</w:t>
      </w:r>
      <w:proofErr w:type="gramEnd"/>
      <w:r w:rsidRPr="0036354B">
        <w:rPr>
          <w:sz w:val="24"/>
          <w:szCs w:val="24"/>
        </w:rPr>
        <w:t xml:space="preserve"> (capital to assets ratio)using the following formula.</w:t>
      </w:r>
    </w:p>
    <w:p w:rsidR="00955C42" w:rsidRPr="0036354B" w:rsidRDefault="00955C42" w:rsidP="00955C42">
      <w:pPr>
        <w:tabs>
          <w:tab w:val="left" w:pos="8220"/>
        </w:tabs>
        <w:spacing w:after="0" w:line="240" w:lineRule="auto"/>
        <w:rPr>
          <w:rFonts w:eastAsiaTheme="minorEastAsia"/>
          <w:sz w:val="24"/>
          <w:szCs w:val="24"/>
        </w:rPr>
      </w:pPr>
      <m:oMathPara>
        <m:oMath>
          <m:r>
            <w:rPr>
              <w:rFonts w:ascii="Cambria Math" w:hAnsi="Cambria Math"/>
              <w:sz w:val="24"/>
              <w:szCs w:val="24"/>
            </w:rPr>
            <m:t>CAR=</m:t>
          </m:r>
          <m:f>
            <m:fPr>
              <m:ctrlPr>
                <w:rPr>
                  <w:rFonts w:ascii="Cambria Math" w:hAnsi="Cambria Math"/>
                  <w:i/>
                  <w:sz w:val="24"/>
                  <w:szCs w:val="24"/>
                </w:rPr>
              </m:ctrlPr>
            </m:fPr>
            <m:num>
              <m:r>
                <w:rPr>
                  <w:rFonts w:ascii="Cambria Math" w:hAnsi="Cambria Math"/>
                  <w:sz w:val="24"/>
                  <w:szCs w:val="24"/>
                </w:rPr>
                <m:t>Total Equity</m:t>
              </m:r>
            </m:num>
            <m:den>
              <m:r>
                <w:rPr>
                  <w:rFonts w:ascii="Cambria Math" w:hAnsi="Cambria Math"/>
                  <w:sz w:val="24"/>
                  <w:szCs w:val="24"/>
                </w:rPr>
                <m:t>Average Total Assets</m:t>
              </m:r>
            </m:den>
          </m:f>
        </m:oMath>
      </m:oMathPara>
    </w:p>
    <w:p w:rsidR="00955C42" w:rsidRDefault="00955C42" w:rsidP="00955C42">
      <w:pPr>
        <w:pStyle w:val="Default"/>
        <w:jc w:val="both"/>
        <w:rPr>
          <w:rFonts w:ascii="Calibri" w:hAnsi="Calibri"/>
          <w:iCs/>
        </w:rPr>
      </w:pPr>
    </w:p>
    <w:p w:rsidR="00955C42" w:rsidRPr="0036354B" w:rsidRDefault="00955C42" w:rsidP="00955C42">
      <w:pPr>
        <w:pStyle w:val="Default"/>
        <w:jc w:val="both"/>
        <w:rPr>
          <w:rFonts w:ascii="Calibri" w:hAnsi="Calibri"/>
          <w:iCs/>
        </w:rPr>
      </w:pPr>
      <w:r w:rsidRPr="0036354B">
        <w:rPr>
          <w:rFonts w:ascii="Calibri" w:hAnsi="Calibri"/>
          <w:iCs/>
        </w:rPr>
        <w:t xml:space="preserve">The total equity is the figure which is stated in the balance sheet as total equity and the average total assets were estimated by considering both year beginning and year ending total assets in the </w:t>
      </w:r>
      <w:proofErr w:type="spellStart"/>
      <w:r w:rsidRPr="0036354B">
        <w:rPr>
          <w:rFonts w:ascii="Calibri" w:hAnsi="Calibri"/>
          <w:iCs/>
        </w:rPr>
        <w:t>blanacesheet</w:t>
      </w:r>
      <w:proofErr w:type="spellEnd"/>
      <w:r w:rsidRPr="0036354B">
        <w:rPr>
          <w:rFonts w:ascii="Calibri" w:hAnsi="Calibri"/>
          <w:iCs/>
        </w:rPr>
        <w:t>.</w:t>
      </w:r>
    </w:p>
    <w:p w:rsidR="00955C42" w:rsidRPr="0036354B" w:rsidRDefault="00955C42" w:rsidP="00955C42">
      <w:pPr>
        <w:pStyle w:val="Default"/>
        <w:jc w:val="both"/>
        <w:rPr>
          <w:rFonts w:ascii="Calibri" w:hAnsi="Calibri"/>
        </w:rPr>
      </w:pPr>
    </w:p>
    <w:p w:rsidR="00955C42" w:rsidRPr="00BE7142" w:rsidRDefault="00955C42" w:rsidP="00955C42">
      <w:pPr>
        <w:tabs>
          <w:tab w:val="left" w:pos="8220"/>
        </w:tabs>
        <w:spacing w:after="0" w:line="240" w:lineRule="auto"/>
        <w:rPr>
          <w:b/>
          <w:bCs/>
          <w:sz w:val="24"/>
          <w:szCs w:val="24"/>
        </w:rPr>
      </w:pPr>
      <w:r w:rsidRPr="00BE7142">
        <w:rPr>
          <w:b/>
          <w:bCs/>
          <w:i/>
          <w:sz w:val="24"/>
          <w:szCs w:val="24"/>
        </w:rPr>
        <w:t>4.2.4 Bank Income Diversification/Natural Hedging Strategy (NNIM)</w:t>
      </w:r>
    </w:p>
    <w:p w:rsidR="00955C42" w:rsidRPr="0036354B" w:rsidRDefault="00955C42" w:rsidP="00955C42">
      <w:pPr>
        <w:spacing w:after="0" w:line="240" w:lineRule="auto"/>
        <w:rPr>
          <w:sz w:val="24"/>
          <w:szCs w:val="24"/>
        </w:rPr>
      </w:pPr>
      <w:r w:rsidRPr="0036354B">
        <w:rPr>
          <w:sz w:val="24"/>
          <w:szCs w:val="24"/>
        </w:rPr>
        <w:t xml:space="preserve">Portfolio theory argues that individual investors can avoid unsystematic risk (diversifiable risk) by investing with a diversified portfolio of assets relevant to various industries. In </w:t>
      </w:r>
      <w:r w:rsidRPr="0036354B">
        <w:rPr>
          <w:sz w:val="24"/>
          <w:szCs w:val="24"/>
        </w:rPr>
        <w:lastRenderedPageBreak/>
        <w:t>general diversification of income means the expanding income bases into the verity of sources that have contradictory patterns of income generation.</w:t>
      </w:r>
    </w:p>
    <w:p w:rsidR="00955C42"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color w:val="auto"/>
        </w:rPr>
      </w:pPr>
      <w:r w:rsidRPr="0036354B">
        <w:rPr>
          <w:rFonts w:ascii="Calibri" w:hAnsi="Calibri"/>
        </w:rPr>
        <w:t xml:space="preserve">Traditionally banks involve with generating net interest income through accepting deposits and making loans. Non-interest income is a bank and creditor income derived primarily from fees including deposit and transaction fees, insufficient funds (NSF) fees, annual fees, monthly account service charges, inactivity fees, check and deposit slip fees, and so on. Kohler (2013) stated that banks that generate the largest part of their income from interest may become more </w:t>
      </w:r>
      <w:r w:rsidRPr="0036354B">
        <w:rPr>
          <w:rFonts w:ascii="Calibri" w:hAnsi="Calibri"/>
          <w:color w:val="auto"/>
        </w:rPr>
        <w:t>stable if they increase their non-interest income share as this allows them to better diversify their income structure and to offset declining interest margins. Therefore noninterest income can be considered as an income source that avoids the risk.</w:t>
      </w:r>
    </w:p>
    <w:p w:rsidR="00955C42"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Hence the argument is banks can reduce overall risk by diversifying income sources from interest income generating sources into non-interest income generating bases. Thus, the amount of noninterest income shows the capability of a bank to generate income avoiding risk.</w:t>
      </w:r>
    </w:p>
    <w:p w:rsidR="00955C42" w:rsidRPr="0036354B"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 xml:space="preserve">When considering the literature </w:t>
      </w:r>
      <w:proofErr w:type="spellStart"/>
      <w:r w:rsidRPr="0036354B">
        <w:rPr>
          <w:rFonts w:ascii="Calibri" w:hAnsi="Calibri"/>
        </w:rPr>
        <w:t>Kirikal</w:t>
      </w:r>
      <w:proofErr w:type="spellEnd"/>
      <w:r w:rsidRPr="0036354B">
        <w:rPr>
          <w:rFonts w:ascii="Calibri" w:hAnsi="Calibri"/>
        </w:rPr>
        <w:t xml:space="preserve">, </w:t>
      </w:r>
      <w:proofErr w:type="spellStart"/>
      <w:r w:rsidRPr="0036354B">
        <w:rPr>
          <w:rFonts w:ascii="Calibri" w:hAnsi="Calibri"/>
        </w:rPr>
        <w:t>Sorg</w:t>
      </w:r>
      <w:proofErr w:type="spellEnd"/>
      <w:r w:rsidRPr="0036354B">
        <w:rPr>
          <w:rFonts w:ascii="Calibri" w:hAnsi="Calibri"/>
        </w:rPr>
        <w:t xml:space="preserve"> and </w:t>
      </w:r>
      <w:proofErr w:type="spellStart"/>
      <w:r w:rsidRPr="0036354B">
        <w:rPr>
          <w:rFonts w:ascii="Calibri" w:hAnsi="Calibri"/>
        </w:rPr>
        <w:t>Vensel</w:t>
      </w:r>
      <w:proofErr w:type="spellEnd"/>
      <w:r w:rsidRPr="0036354B">
        <w:rPr>
          <w:rFonts w:ascii="Calibri" w:hAnsi="Calibri"/>
        </w:rPr>
        <w:t xml:space="preserve"> (</w:t>
      </w:r>
      <w:r>
        <w:rPr>
          <w:rFonts w:ascii="Calibri" w:hAnsi="Calibri"/>
        </w:rPr>
        <w:t>2011</w:t>
      </w:r>
      <w:r w:rsidRPr="0036354B">
        <w:rPr>
          <w:rFonts w:ascii="Calibri" w:hAnsi="Calibri"/>
        </w:rPr>
        <w:t xml:space="preserve">) considered the nation-interest income to total asset ratio as an increasing function of ROA and named as burden ratio for their analysis. </w:t>
      </w:r>
      <w:proofErr w:type="spellStart"/>
      <w:r w:rsidRPr="0036354B">
        <w:rPr>
          <w:rFonts w:ascii="Calibri" w:hAnsi="Calibri"/>
        </w:rPr>
        <w:t>Sensarm</w:t>
      </w:r>
      <w:r>
        <w:rPr>
          <w:rFonts w:ascii="Calibri" w:hAnsi="Calibri"/>
        </w:rPr>
        <w:t>a</w:t>
      </w:r>
      <w:proofErr w:type="spellEnd"/>
      <w:r>
        <w:rPr>
          <w:rFonts w:ascii="Calibri" w:hAnsi="Calibri"/>
        </w:rPr>
        <w:t xml:space="preserve"> and </w:t>
      </w:r>
      <w:proofErr w:type="spellStart"/>
      <w:r>
        <w:rPr>
          <w:rFonts w:ascii="Calibri" w:hAnsi="Calibri"/>
        </w:rPr>
        <w:t>Jayadev</w:t>
      </w:r>
      <w:proofErr w:type="spellEnd"/>
      <w:r>
        <w:rPr>
          <w:rFonts w:ascii="Calibri" w:hAnsi="Calibri"/>
        </w:rPr>
        <w:t xml:space="preserve"> (2009) and </w:t>
      </w:r>
      <w:proofErr w:type="spellStart"/>
      <w:r>
        <w:rPr>
          <w:rFonts w:ascii="Calibri" w:hAnsi="Calibri"/>
        </w:rPr>
        <w:t>Fathi</w:t>
      </w:r>
      <w:proofErr w:type="spellEnd"/>
      <w:r>
        <w:rPr>
          <w:rFonts w:ascii="Calibri" w:hAnsi="Calibri"/>
        </w:rPr>
        <w:t xml:space="preserve"> et al. </w:t>
      </w:r>
      <w:r w:rsidRPr="0036354B">
        <w:rPr>
          <w:rFonts w:ascii="Calibri" w:hAnsi="Calibri"/>
        </w:rPr>
        <w:t xml:space="preserve">(2012), </w:t>
      </w:r>
      <w:proofErr w:type="spellStart"/>
      <w:r w:rsidRPr="0036354B">
        <w:rPr>
          <w:rFonts w:ascii="Calibri" w:hAnsi="Calibri"/>
        </w:rPr>
        <w:t>Sufian</w:t>
      </w:r>
      <w:proofErr w:type="spellEnd"/>
      <w:r w:rsidRPr="0036354B">
        <w:rPr>
          <w:rFonts w:ascii="Calibri" w:hAnsi="Calibri"/>
        </w:rPr>
        <w:t xml:space="preserve"> </w:t>
      </w:r>
      <w:r>
        <w:rPr>
          <w:rFonts w:ascii="Calibri" w:hAnsi="Calibri"/>
        </w:rPr>
        <w:t xml:space="preserve">and </w:t>
      </w:r>
      <w:r w:rsidRPr="0036354B">
        <w:rPr>
          <w:rFonts w:ascii="Calibri" w:hAnsi="Calibri"/>
          <w:color w:val="222222"/>
          <w:shd w:val="clear" w:color="auto" w:fill="FFFFFF"/>
        </w:rPr>
        <w:t xml:space="preserve">Shah </w:t>
      </w:r>
      <w:proofErr w:type="spellStart"/>
      <w:r w:rsidRPr="0036354B">
        <w:rPr>
          <w:rFonts w:ascii="Calibri" w:hAnsi="Calibri"/>
          <w:color w:val="222222"/>
          <w:shd w:val="clear" w:color="auto" w:fill="FFFFFF"/>
        </w:rPr>
        <w:t>Habibullah</w:t>
      </w:r>
      <w:proofErr w:type="spellEnd"/>
      <w:r>
        <w:rPr>
          <w:rFonts w:ascii="Calibri" w:hAnsi="Calibri"/>
          <w:color w:val="222222"/>
          <w:shd w:val="clear" w:color="auto" w:fill="FFFFFF"/>
        </w:rPr>
        <w:t xml:space="preserve"> </w:t>
      </w:r>
      <w:r w:rsidRPr="0036354B">
        <w:rPr>
          <w:rFonts w:ascii="Calibri" w:hAnsi="Calibri"/>
        </w:rPr>
        <w:t>(2014)</w:t>
      </w:r>
      <w:r>
        <w:rPr>
          <w:rFonts w:ascii="Calibri" w:hAnsi="Calibri"/>
        </w:rPr>
        <w:t>,</w:t>
      </w:r>
      <w:r w:rsidRPr="0036354B">
        <w:rPr>
          <w:rFonts w:ascii="Calibri" w:hAnsi="Calibri"/>
        </w:rPr>
        <w:t xml:space="preserve"> and </w:t>
      </w:r>
      <w:proofErr w:type="spellStart"/>
      <w:r w:rsidRPr="0036354B">
        <w:rPr>
          <w:rFonts w:ascii="Calibri" w:hAnsi="Calibri"/>
        </w:rPr>
        <w:t>Saeidi</w:t>
      </w:r>
      <w:proofErr w:type="spellEnd"/>
      <w:r w:rsidRPr="0036354B">
        <w:rPr>
          <w:rFonts w:ascii="Calibri" w:hAnsi="Calibri"/>
        </w:rPr>
        <w:t xml:space="preserve"> and </w:t>
      </w:r>
      <w:proofErr w:type="spellStart"/>
      <w:r w:rsidRPr="0036354B">
        <w:rPr>
          <w:rFonts w:ascii="Calibri" w:hAnsi="Calibri"/>
        </w:rPr>
        <w:t>Kamali</w:t>
      </w:r>
      <w:proofErr w:type="spellEnd"/>
      <w:r w:rsidRPr="0036354B">
        <w:rPr>
          <w:rFonts w:ascii="Calibri" w:hAnsi="Calibri"/>
        </w:rPr>
        <w:t xml:space="preserve"> (2016) also used the noninterest income to total assets ratio (Net Noninterest Income/Total Assets) to represent the successfulness of the natural hedging strategy/bank income diversification of banks. Based on the argument that income diversification (income from other sources) as a risk management strategy, the study also used the amount of non-interest income to represent the bank attempt towards generating income avoiding from risk. The non-interest income considered in the study is the income from sources that generate income other than the interest income (i.e. deposit and transaction fees, insufficient funds (NSF) fees, annual fees, monthly account service charges, inactivity fees, check and deposit slip fees so on). </w:t>
      </w:r>
      <w:proofErr w:type="gramStart"/>
      <w:r w:rsidRPr="0036354B">
        <w:rPr>
          <w:rFonts w:ascii="Calibri" w:hAnsi="Calibri"/>
        </w:rPr>
        <w:t>The fees, commission income, and other income.</w:t>
      </w:r>
      <w:proofErr w:type="gramEnd"/>
    </w:p>
    <w:p w:rsidR="00955C42" w:rsidRDefault="00955C42" w:rsidP="00955C42">
      <w:pPr>
        <w:pStyle w:val="Default"/>
        <w:jc w:val="both"/>
        <w:rPr>
          <w:rFonts w:ascii="Calibri" w:hAnsi="Calibri"/>
        </w:rPr>
      </w:pPr>
    </w:p>
    <w:p w:rsidR="00955C42" w:rsidRPr="0036354B" w:rsidRDefault="00955C42" w:rsidP="00955C42">
      <w:pPr>
        <w:pStyle w:val="Default"/>
        <w:jc w:val="both"/>
        <w:rPr>
          <w:rFonts w:ascii="Calibri" w:hAnsi="Calibri"/>
        </w:rPr>
      </w:pPr>
      <w:r w:rsidRPr="0036354B">
        <w:rPr>
          <w:rFonts w:ascii="Calibri" w:hAnsi="Calibri"/>
        </w:rPr>
        <w:t>Therefore, the study used NNIM (Net Noninterest Income/Total Assets) as a proxy to represent the success of natural hedging strategy.</w:t>
      </w:r>
    </w:p>
    <w:p w:rsidR="00955C42" w:rsidRPr="0036354B" w:rsidRDefault="00955C42" w:rsidP="00955C42">
      <w:pPr>
        <w:pStyle w:val="Default"/>
        <w:ind w:firstLine="720"/>
        <w:jc w:val="both"/>
        <w:rPr>
          <w:rFonts w:ascii="Calibri" w:hAnsi="Calibri"/>
        </w:rPr>
      </w:pPr>
    </w:p>
    <w:p w:rsidR="00955C42" w:rsidRPr="0036354B" w:rsidRDefault="00955C42" w:rsidP="00955C42">
      <w:pPr>
        <w:pStyle w:val="Default"/>
        <w:jc w:val="both"/>
        <w:rPr>
          <w:rFonts w:ascii="Calibri" w:eastAsiaTheme="minorEastAsia" w:hAnsi="Calibri"/>
        </w:rPr>
      </w:pPr>
      <m:oMathPara>
        <m:oMath>
          <m:r>
            <w:rPr>
              <w:rFonts w:ascii="Cambria Math" w:hAnsi="Cambria Math"/>
            </w:rPr>
            <m:t>NNIM=</m:t>
          </m:r>
          <m:f>
            <m:fPr>
              <m:ctrlPr>
                <w:rPr>
                  <w:rFonts w:ascii="Cambria Math" w:hAnsi="Cambria Math"/>
                  <w:i/>
                </w:rPr>
              </m:ctrlPr>
            </m:fPr>
            <m:num>
              <m:r>
                <w:rPr>
                  <w:rFonts w:ascii="Cambria Math" w:hAnsi="Cambria Math"/>
                </w:rPr>
                <m:t>Net non-Interest Income</m:t>
              </m:r>
            </m:num>
            <m:den>
              <m:r>
                <w:rPr>
                  <w:rFonts w:ascii="Cambria Math" w:hAnsi="Cambria Math"/>
                </w:rPr>
                <m:t>Average Total Assets</m:t>
              </m:r>
            </m:den>
          </m:f>
        </m:oMath>
      </m:oMathPara>
    </w:p>
    <w:p w:rsidR="00955C42" w:rsidRPr="0036354B" w:rsidRDefault="00955C42" w:rsidP="00955C42">
      <w:pPr>
        <w:pStyle w:val="Default"/>
        <w:jc w:val="both"/>
        <w:rPr>
          <w:rFonts w:ascii="Calibri" w:eastAsiaTheme="minorEastAsia" w:hAnsi="Calibri"/>
        </w:rPr>
      </w:pPr>
    </w:p>
    <w:p w:rsidR="00955C42" w:rsidRPr="0036354B" w:rsidRDefault="00955C42" w:rsidP="00955C42">
      <w:pPr>
        <w:pStyle w:val="Default"/>
        <w:jc w:val="both"/>
        <w:rPr>
          <w:rFonts w:ascii="Calibri" w:hAnsi="Calibri"/>
        </w:rPr>
      </w:pPr>
      <w:r w:rsidRPr="0036354B">
        <w:rPr>
          <w:rFonts w:ascii="Calibri" w:hAnsi="Calibri"/>
          <w:iCs/>
        </w:rPr>
        <w:t xml:space="preserve">The net non-interest income has been estimated by taking the sum of all the income except interest income minus expenses relating to other income bases and the average total assets were estimated by considering both year beginning and year ending total assets in the </w:t>
      </w:r>
      <w:proofErr w:type="spellStart"/>
      <w:r w:rsidRPr="0036354B">
        <w:rPr>
          <w:rFonts w:ascii="Calibri" w:hAnsi="Calibri"/>
          <w:iCs/>
        </w:rPr>
        <w:t>blanacesheet</w:t>
      </w:r>
      <w:proofErr w:type="spellEnd"/>
      <w:r w:rsidRPr="0036354B">
        <w:rPr>
          <w:rFonts w:ascii="Calibri" w:hAnsi="Calibri"/>
          <w:iCs/>
        </w:rPr>
        <w:t>.</w:t>
      </w:r>
    </w:p>
    <w:p w:rsidR="00955C42" w:rsidRDefault="00955C42">
      <w:pPr>
        <w:jc w:val="left"/>
        <w:rPr>
          <w:b/>
          <w:sz w:val="24"/>
          <w:szCs w:val="24"/>
        </w:rPr>
      </w:pPr>
      <w:r>
        <w:rPr>
          <w:b/>
          <w:sz w:val="24"/>
          <w:szCs w:val="24"/>
        </w:rPr>
        <w:br w:type="page"/>
      </w:r>
    </w:p>
    <w:p w:rsidR="00955C42" w:rsidRPr="0036354B" w:rsidRDefault="00955C42" w:rsidP="00955C42">
      <w:pPr>
        <w:tabs>
          <w:tab w:val="left" w:pos="8220"/>
        </w:tabs>
        <w:spacing w:after="0" w:line="240" w:lineRule="auto"/>
        <w:rPr>
          <w:b/>
          <w:sz w:val="24"/>
          <w:szCs w:val="24"/>
        </w:rPr>
      </w:pPr>
    </w:p>
    <w:p w:rsidR="00955C42" w:rsidRPr="00BE7142" w:rsidRDefault="00955C42" w:rsidP="00955C42">
      <w:pPr>
        <w:tabs>
          <w:tab w:val="left" w:pos="8220"/>
        </w:tabs>
        <w:spacing w:after="0" w:line="240" w:lineRule="auto"/>
        <w:rPr>
          <w:b/>
          <w:i/>
          <w:sz w:val="24"/>
          <w:szCs w:val="24"/>
        </w:rPr>
      </w:pPr>
      <w:r w:rsidRPr="00BE7142">
        <w:rPr>
          <w:b/>
          <w:i/>
          <w:sz w:val="24"/>
          <w:szCs w:val="24"/>
        </w:rPr>
        <w:t xml:space="preserve">4.2.5 Market </w:t>
      </w:r>
      <w:proofErr w:type="gramStart"/>
      <w:r w:rsidRPr="00BE7142">
        <w:rPr>
          <w:b/>
          <w:i/>
          <w:sz w:val="24"/>
          <w:szCs w:val="24"/>
        </w:rPr>
        <w:t>return</w:t>
      </w:r>
      <w:proofErr w:type="gramEnd"/>
      <w:r w:rsidRPr="00BE7142">
        <w:rPr>
          <w:b/>
          <w:i/>
          <w:sz w:val="24"/>
          <w:szCs w:val="24"/>
        </w:rPr>
        <w:t xml:space="preserve"> (</w:t>
      </w:r>
      <w:proofErr w:type="spellStart"/>
      <w:r w:rsidRPr="00BE7142">
        <w:rPr>
          <w:b/>
          <w:i/>
          <w:sz w:val="24"/>
          <w:szCs w:val="24"/>
        </w:rPr>
        <w:t>Rm</w:t>
      </w:r>
      <w:proofErr w:type="spellEnd"/>
      <w:r w:rsidRPr="00BE7142">
        <w:rPr>
          <w:b/>
          <w:i/>
          <w:sz w:val="24"/>
          <w:szCs w:val="24"/>
        </w:rPr>
        <w:t>)</w:t>
      </w:r>
    </w:p>
    <w:p w:rsidR="00955C42" w:rsidRDefault="00955C42" w:rsidP="00955C42">
      <w:pPr>
        <w:spacing w:after="0" w:line="240" w:lineRule="auto"/>
        <w:rPr>
          <w:sz w:val="24"/>
          <w:szCs w:val="24"/>
        </w:rPr>
      </w:pPr>
      <w:r w:rsidRPr="0036354B">
        <w:rPr>
          <w:sz w:val="24"/>
          <w:szCs w:val="24"/>
        </w:rPr>
        <w:t xml:space="preserve">In simply the market return is the return on the market portfolio. CAPM introduced by Sharpe (1964) and </w:t>
      </w:r>
      <w:proofErr w:type="spellStart"/>
      <w:r w:rsidRPr="0036354B">
        <w:rPr>
          <w:sz w:val="24"/>
          <w:szCs w:val="24"/>
        </w:rPr>
        <w:t>Lintner</w:t>
      </w:r>
      <w:proofErr w:type="spellEnd"/>
      <w:r w:rsidRPr="0036354B">
        <w:rPr>
          <w:sz w:val="24"/>
          <w:szCs w:val="24"/>
        </w:rPr>
        <w:t xml:space="preserve"> (1965) and market model introduced by </w:t>
      </w:r>
      <w:proofErr w:type="spellStart"/>
      <w:r w:rsidRPr="0036354B">
        <w:rPr>
          <w:sz w:val="24"/>
          <w:szCs w:val="24"/>
        </w:rPr>
        <w:t>Fama</w:t>
      </w:r>
      <w:proofErr w:type="spellEnd"/>
      <w:r w:rsidRPr="0036354B">
        <w:rPr>
          <w:sz w:val="24"/>
          <w:szCs w:val="24"/>
        </w:rPr>
        <w:t xml:space="preserve"> (1973) argued that return on any stock is sensitive to the return on market portfolio under the sensitiveness of the beta coefficient of a particular company. The study also considered the market return as an independent variable that theoretically </w:t>
      </w:r>
      <w:proofErr w:type="gramStart"/>
      <w:r w:rsidRPr="0036354B">
        <w:rPr>
          <w:sz w:val="24"/>
          <w:szCs w:val="24"/>
        </w:rPr>
        <w:t>effects</w:t>
      </w:r>
      <w:proofErr w:type="gramEnd"/>
      <w:r w:rsidRPr="0036354B">
        <w:rPr>
          <w:sz w:val="24"/>
          <w:szCs w:val="24"/>
        </w:rPr>
        <w:t xml:space="preserve"> the return of any stock. In the market model, total market index return is used when explaining the relationship between market return and individual stock returns. However, the banking industry is a highly regulated industry that differs from other industries. Therefore, the total market index return (ASPI) may not be suitable when estimating the market model for the banking industry. Therefore geometric mean of the monthly average BFI (Banking finance and insurance) sector return was employed to represent the annual market return when estimating the market model for banks.</w:t>
      </w:r>
    </w:p>
    <w:p w:rsidR="00955C42" w:rsidRPr="0036354B" w:rsidRDefault="00955C42" w:rsidP="00955C42">
      <w:pPr>
        <w:spacing w:after="0" w:line="240" w:lineRule="auto"/>
        <w:rPr>
          <w:sz w:val="24"/>
          <w:szCs w:val="24"/>
        </w:rPr>
      </w:pPr>
    </w:p>
    <w:p w:rsidR="00955C42" w:rsidRPr="00BE7142" w:rsidRDefault="00955C42" w:rsidP="00955C42">
      <w:pPr>
        <w:tabs>
          <w:tab w:val="left" w:pos="7125"/>
        </w:tabs>
        <w:spacing w:after="0" w:line="240" w:lineRule="auto"/>
        <w:rPr>
          <w:b/>
          <w:bCs/>
          <w:i/>
          <w:sz w:val="24"/>
          <w:szCs w:val="24"/>
        </w:rPr>
      </w:pPr>
      <w:r w:rsidRPr="00BE7142">
        <w:rPr>
          <w:b/>
          <w:bCs/>
          <w:i/>
          <w:sz w:val="24"/>
          <w:szCs w:val="24"/>
        </w:rPr>
        <w:t>4.2.6 Bank Stock Return (</w:t>
      </w:r>
      <m:oMath>
        <m:sSub>
          <m:sSubPr>
            <m:ctrlPr>
              <w:rPr>
                <w:rFonts w:ascii="Cambria Math" w:hAnsi="Cambria Math"/>
                <w:b/>
                <w:bCs/>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it</m:t>
            </m:r>
          </m:sub>
        </m:sSub>
      </m:oMath>
      <w:r w:rsidRPr="00BE7142">
        <w:rPr>
          <w:b/>
          <w:bCs/>
          <w:i/>
          <w:sz w:val="24"/>
          <w:szCs w:val="24"/>
        </w:rPr>
        <w:t>)</w:t>
      </w:r>
      <w:r w:rsidRPr="00BE7142">
        <w:rPr>
          <w:b/>
          <w:bCs/>
          <w:i/>
          <w:sz w:val="24"/>
          <w:szCs w:val="24"/>
        </w:rPr>
        <w:tab/>
      </w:r>
    </w:p>
    <w:p w:rsidR="00955C42" w:rsidRPr="0036354B" w:rsidRDefault="00955C42" w:rsidP="00955C42">
      <w:pPr>
        <w:autoSpaceDE w:val="0"/>
        <w:autoSpaceDN w:val="0"/>
        <w:adjustRightInd w:val="0"/>
        <w:spacing w:after="0" w:line="240" w:lineRule="auto"/>
        <w:rPr>
          <w:color w:val="222222"/>
          <w:sz w:val="24"/>
          <w:szCs w:val="24"/>
          <w:shd w:val="clear" w:color="auto" w:fill="FFFFFF"/>
        </w:rPr>
      </w:pPr>
      <w:r w:rsidRPr="0036354B">
        <w:rPr>
          <w:sz w:val="24"/>
          <w:szCs w:val="24"/>
        </w:rPr>
        <w:t xml:space="preserve">The main objective of a profit-seeking organization is to maximize shareholder wealth which is measured using various measures. From the shareholder perspective, shareholders expect a continuous increase in share price which is measured by stock returns. As per the signaling hypothesis, profit distribution (good news) provides positive signals which lead to an increase in the share price and if the market is efficient in a semi-strong form, the </w:t>
      </w:r>
      <w:proofErr w:type="gramStart"/>
      <w:r w:rsidRPr="0036354B">
        <w:rPr>
          <w:sz w:val="24"/>
          <w:szCs w:val="24"/>
        </w:rPr>
        <w:t>price capture</w:t>
      </w:r>
      <w:proofErr w:type="gramEnd"/>
      <w:r w:rsidRPr="0036354B">
        <w:rPr>
          <w:sz w:val="24"/>
          <w:szCs w:val="24"/>
        </w:rPr>
        <w:t xml:space="preserve"> the dividend value.</w:t>
      </w:r>
      <w:r w:rsidRPr="0036354B">
        <w:rPr>
          <w:color w:val="000000"/>
          <w:sz w:val="24"/>
          <w:szCs w:val="24"/>
        </w:rPr>
        <w:t xml:space="preserve"> Therefore, the log return of annual bank stock prices was used to estimate the return of stocks using the following formula according to </w:t>
      </w:r>
      <w:r w:rsidRPr="0036354B">
        <w:rPr>
          <w:color w:val="222222"/>
          <w:sz w:val="24"/>
          <w:szCs w:val="24"/>
          <w:shd w:val="clear" w:color="auto" w:fill="FFFFFF"/>
        </w:rPr>
        <w:t xml:space="preserve">Ahmad (2011) and O’Connor </w:t>
      </w:r>
      <w:r>
        <w:rPr>
          <w:color w:val="222222"/>
          <w:sz w:val="24"/>
          <w:szCs w:val="24"/>
          <w:shd w:val="clear" w:color="auto" w:fill="FFFFFF"/>
        </w:rPr>
        <w:t>and Keane</w:t>
      </w:r>
      <w:r w:rsidRPr="0036354B">
        <w:rPr>
          <w:color w:val="222222"/>
          <w:sz w:val="24"/>
          <w:szCs w:val="24"/>
          <w:shd w:val="clear" w:color="auto" w:fill="FFFFFF"/>
        </w:rPr>
        <w:t xml:space="preserve"> (2011).</w:t>
      </w:r>
    </w:p>
    <w:p w:rsidR="00955C42" w:rsidRPr="0036354B" w:rsidRDefault="00955C42" w:rsidP="00955C42">
      <w:pPr>
        <w:autoSpaceDE w:val="0"/>
        <w:autoSpaceDN w:val="0"/>
        <w:adjustRightInd w:val="0"/>
        <w:spacing w:after="0" w:line="240" w:lineRule="auto"/>
        <w:rPr>
          <w:rFonts w:eastAsiaTheme="minorEastAsia"/>
          <w:color w:val="000000"/>
          <w:sz w:val="24"/>
          <w:szCs w:val="24"/>
        </w:rPr>
      </w:pPr>
    </w:p>
    <w:p w:rsidR="00955C42" w:rsidRPr="0036354B" w:rsidRDefault="00955C42" w:rsidP="00955C42">
      <w:pPr>
        <w:autoSpaceDE w:val="0"/>
        <w:autoSpaceDN w:val="0"/>
        <w:adjustRightInd w:val="0"/>
        <w:spacing w:after="0" w:line="240" w:lineRule="auto"/>
        <w:rPr>
          <w:rFonts w:eastAsiaTheme="minorEastAsia"/>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it</m:t>
              </m:r>
            </m:sub>
          </m:sSub>
          <m:r>
            <w:rPr>
              <w:rFonts w:ascii="Cambria Math" w:hAnsi="Cambria Math"/>
              <w:color w:val="000000"/>
              <w:sz w:val="24"/>
              <w:szCs w:val="24"/>
            </w:rPr>
            <m:t>=Ln(</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t</m:t>
                  </m:r>
                </m:sub>
              </m:sSub>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t-1</m:t>
                  </m:r>
                </m:sub>
              </m:sSub>
            </m:den>
          </m:f>
          <m:r>
            <w:rPr>
              <w:rFonts w:ascii="Cambria Math" w:hAnsi="Cambria Math"/>
              <w:color w:val="000000"/>
              <w:sz w:val="24"/>
              <w:szCs w:val="24"/>
            </w:rPr>
            <m:t>)</m:t>
          </m:r>
        </m:oMath>
      </m:oMathPara>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r w:rsidRPr="0036354B">
        <w:rPr>
          <w:color w:val="000000"/>
          <w:sz w:val="24"/>
          <w:szCs w:val="24"/>
        </w:rPr>
        <w:t xml:space="preserve">Where: </w:t>
      </w:r>
    </w:p>
    <w:p w:rsidR="00955C42" w:rsidRPr="0036354B" w:rsidRDefault="00955C42" w:rsidP="00955C42">
      <w:pPr>
        <w:autoSpaceDE w:val="0"/>
        <w:autoSpaceDN w:val="0"/>
        <w:adjustRightInd w:val="0"/>
        <w:spacing w:after="0" w:line="240" w:lineRule="auto"/>
        <w:rPr>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it</m:t>
              </m:r>
            </m:sub>
          </m:sSub>
          <m:r>
            <w:rPr>
              <w:rFonts w:ascii="Cambria Math" w:hAnsi="Cambria Math"/>
              <w:color w:val="000000"/>
              <w:sz w:val="24"/>
              <w:szCs w:val="24"/>
            </w:rPr>
            <m:t>=</m:t>
          </m:r>
          <m:r>
            <m:rPr>
              <m:sty m:val="p"/>
            </m:rPr>
            <w:rPr>
              <w:rFonts w:ascii="Cambria Math" w:hAnsi="Cambria Math"/>
              <w:sz w:val="24"/>
              <w:szCs w:val="24"/>
            </w:rPr>
            <m:t xml:space="preserve">Annual return of stock </m:t>
          </m:r>
          <m:r>
            <w:rPr>
              <w:rFonts w:ascii="Cambria Math" w:hAnsi="Cambria Math"/>
              <w:sz w:val="24"/>
              <w:szCs w:val="24"/>
            </w:rPr>
            <m:t xml:space="preserve">i </m:t>
          </m:r>
          <m:r>
            <m:rPr>
              <m:sty m:val="p"/>
            </m:rPr>
            <w:rPr>
              <w:rFonts w:ascii="Cambria Math" w:hAnsi="Cambria Math"/>
              <w:sz w:val="24"/>
              <w:szCs w:val="24"/>
            </w:rPr>
            <m:t xml:space="preserve">at time </m:t>
          </m:r>
          <m:r>
            <w:rPr>
              <w:rFonts w:ascii="Cambria Math" w:hAnsi="Cambria Math"/>
              <w:sz w:val="24"/>
              <w:szCs w:val="24"/>
            </w:rPr>
            <m:t xml:space="preserve">t </m:t>
          </m:r>
        </m:oMath>
      </m:oMathPara>
    </w:p>
    <w:p w:rsidR="00955C42" w:rsidRPr="0036354B" w:rsidRDefault="00955C42" w:rsidP="00955C42">
      <w:pPr>
        <w:autoSpaceDE w:val="0"/>
        <w:autoSpaceDN w:val="0"/>
        <w:adjustRightInd w:val="0"/>
        <w:spacing w:after="0" w:line="240" w:lineRule="auto"/>
        <w:rPr>
          <w:color w:val="000000"/>
          <w:sz w:val="24"/>
          <w:szCs w:val="24"/>
        </w:rPr>
      </w:pPr>
      <w:r w:rsidRPr="0036354B">
        <w:rPr>
          <w:i/>
          <w:iCs/>
          <w:color w:val="000000"/>
          <w:sz w:val="24"/>
          <w:szCs w:val="24"/>
        </w:rPr>
        <w:t xml:space="preserve">P t </w:t>
      </w:r>
      <w:r w:rsidRPr="0036354B">
        <w:rPr>
          <w:color w:val="000000"/>
          <w:sz w:val="24"/>
          <w:szCs w:val="24"/>
        </w:rPr>
        <w:t xml:space="preserve">= Price of stock at time </w:t>
      </w:r>
      <w:r w:rsidRPr="0036354B">
        <w:rPr>
          <w:i/>
          <w:iCs/>
          <w:color w:val="000000"/>
          <w:sz w:val="24"/>
          <w:szCs w:val="24"/>
        </w:rPr>
        <w:t xml:space="preserve">t </w:t>
      </w:r>
    </w:p>
    <w:p w:rsidR="00955C42" w:rsidRPr="0036354B" w:rsidRDefault="00955C42" w:rsidP="00955C42">
      <w:pPr>
        <w:autoSpaceDE w:val="0"/>
        <w:autoSpaceDN w:val="0"/>
        <w:adjustRightInd w:val="0"/>
        <w:spacing w:after="0" w:line="240" w:lineRule="auto"/>
        <w:rPr>
          <w:color w:val="000000"/>
          <w:sz w:val="24"/>
          <w:szCs w:val="24"/>
        </w:rPr>
      </w:pPr>
      <w:r w:rsidRPr="0036354B">
        <w:rPr>
          <w:i/>
          <w:iCs/>
          <w:color w:val="000000"/>
          <w:sz w:val="24"/>
          <w:szCs w:val="24"/>
        </w:rPr>
        <w:t xml:space="preserve">P </w:t>
      </w:r>
      <w:r w:rsidRPr="0036354B">
        <w:rPr>
          <w:color w:val="000000"/>
          <w:sz w:val="24"/>
          <w:szCs w:val="24"/>
        </w:rPr>
        <w:t xml:space="preserve">t-1=Price of stock at time </w:t>
      </w:r>
      <w:r w:rsidRPr="0036354B">
        <w:rPr>
          <w:i/>
          <w:iCs/>
          <w:color w:val="000000"/>
          <w:sz w:val="24"/>
          <w:szCs w:val="24"/>
        </w:rPr>
        <w:t xml:space="preserve">t-1 </w:t>
      </w:r>
    </w:p>
    <w:p w:rsidR="00955C42" w:rsidRPr="0036354B" w:rsidRDefault="00955C42" w:rsidP="00955C42">
      <w:pPr>
        <w:autoSpaceDE w:val="0"/>
        <w:autoSpaceDN w:val="0"/>
        <w:adjustRightInd w:val="0"/>
        <w:spacing w:after="0" w:line="240" w:lineRule="auto"/>
        <w:rPr>
          <w:b/>
          <w:iCs/>
          <w:color w:val="000000"/>
          <w:sz w:val="24"/>
          <w:szCs w:val="24"/>
        </w:rPr>
      </w:pPr>
    </w:p>
    <w:p w:rsidR="00955C42" w:rsidRPr="00BE7142" w:rsidRDefault="00955C42" w:rsidP="00955C42">
      <w:pPr>
        <w:autoSpaceDE w:val="0"/>
        <w:autoSpaceDN w:val="0"/>
        <w:adjustRightInd w:val="0"/>
        <w:spacing w:after="0" w:line="240" w:lineRule="auto"/>
        <w:rPr>
          <w:b/>
          <w:i/>
          <w:iCs/>
          <w:color w:val="000000"/>
          <w:sz w:val="24"/>
          <w:szCs w:val="24"/>
        </w:rPr>
      </w:pPr>
      <w:r w:rsidRPr="00BE7142">
        <w:rPr>
          <w:b/>
          <w:i/>
          <w:iCs/>
          <w:color w:val="000000"/>
          <w:sz w:val="24"/>
          <w:szCs w:val="24"/>
        </w:rPr>
        <w:t>4.2.7 Control variable (TA)</w:t>
      </w:r>
    </w:p>
    <w:p w:rsidR="00955C42" w:rsidRPr="0036354B" w:rsidRDefault="00955C42" w:rsidP="00955C42">
      <w:pPr>
        <w:autoSpaceDE w:val="0"/>
        <w:autoSpaceDN w:val="0"/>
        <w:adjustRightInd w:val="0"/>
        <w:spacing w:after="0" w:line="240" w:lineRule="auto"/>
        <w:rPr>
          <w:iCs/>
          <w:color w:val="000000"/>
          <w:sz w:val="24"/>
          <w:szCs w:val="24"/>
        </w:rPr>
      </w:pPr>
      <w:r w:rsidRPr="0036354B">
        <w:rPr>
          <w:iCs/>
          <w:color w:val="000000"/>
          <w:sz w:val="24"/>
          <w:szCs w:val="24"/>
        </w:rPr>
        <w:t>In addition to risk management variables identified in the analysis, firm size is employed as a control variable in the model since risk management capability may differ from large banks to small banks. Therefore, the natural logarithm of the average total assets of banks is utilized to represent the size of the bank.</w:t>
      </w:r>
      <w:r w:rsidRPr="0036354B">
        <w:rPr>
          <w:sz w:val="24"/>
          <w:szCs w:val="24"/>
        </w:rPr>
        <w:t xml:space="preserve"> </w:t>
      </w:r>
      <w:proofErr w:type="spellStart"/>
      <w:r w:rsidRPr="0036354B">
        <w:rPr>
          <w:sz w:val="24"/>
          <w:szCs w:val="24"/>
        </w:rPr>
        <w:t>Fama</w:t>
      </w:r>
      <w:proofErr w:type="spellEnd"/>
      <w:r w:rsidRPr="0036354B">
        <w:rPr>
          <w:sz w:val="24"/>
          <w:szCs w:val="24"/>
        </w:rPr>
        <w:t xml:space="preserve"> and French (1992</w:t>
      </w:r>
      <w:proofErr w:type="gramStart"/>
      <w:r w:rsidRPr="0036354B">
        <w:rPr>
          <w:sz w:val="24"/>
          <w:szCs w:val="24"/>
        </w:rPr>
        <w:t>)documented</w:t>
      </w:r>
      <w:proofErr w:type="gramEnd"/>
      <w:r w:rsidRPr="0036354B">
        <w:rPr>
          <w:sz w:val="24"/>
          <w:szCs w:val="24"/>
        </w:rPr>
        <w:t xml:space="preserve"> a significant relationship between firm size and stock returns of non-financial firms. Later</w:t>
      </w:r>
      <w:r w:rsidRPr="0036354B">
        <w:rPr>
          <w:color w:val="222222"/>
          <w:sz w:val="24"/>
          <w:szCs w:val="24"/>
          <w:shd w:val="clear" w:color="auto" w:fill="FFFFFF"/>
        </w:rPr>
        <w:t xml:space="preserve"> Barber and Lyon (1997)</w:t>
      </w:r>
      <w:r w:rsidRPr="0036354B">
        <w:rPr>
          <w:sz w:val="24"/>
          <w:szCs w:val="24"/>
        </w:rPr>
        <w:t xml:space="preserve"> investigated the relationship between firm size and stock returns for financial firms and conclude that the relationship between firm size and stock returns of financial firms is also similar to the non-financial firm.</w:t>
      </w:r>
      <w:r w:rsidRPr="0036354B">
        <w:rPr>
          <w:color w:val="000000"/>
          <w:sz w:val="24"/>
          <w:szCs w:val="24"/>
        </w:rPr>
        <w:t xml:space="preserve"> In previous studies in the literature, </w:t>
      </w:r>
      <w:proofErr w:type="spellStart"/>
      <w:r w:rsidRPr="0036354B">
        <w:rPr>
          <w:color w:val="000000"/>
          <w:sz w:val="24"/>
          <w:szCs w:val="24"/>
        </w:rPr>
        <w:t>Kosmidou</w:t>
      </w:r>
      <w:proofErr w:type="spellEnd"/>
      <w:r>
        <w:rPr>
          <w:color w:val="000000"/>
          <w:sz w:val="24"/>
          <w:szCs w:val="24"/>
        </w:rPr>
        <w:t xml:space="preserve"> </w:t>
      </w:r>
      <w:r w:rsidRPr="0036354B">
        <w:rPr>
          <w:color w:val="000000"/>
          <w:sz w:val="24"/>
          <w:szCs w:val="24"/>
        </w:rPr>
        <w:t xml:space="preserve">(2008), </w:t>
      </w:r>
      <w:proofErr w:type="spellStart"/>
      <w:r w:rsidRPr="0036354B">
        <w:rPr>
          <w:color w:val="000000"/>
          <w:sz w:val="24"/>
          <w:szCs w:val="24"/>
        </w:rPr>
        <w:t>Floros</w:t>
      </w:r>
      <w:proofErr w:type="spellEnd"/>
      <w:r>
        <w:rPr>
          <w:color w:val="000000"/>
          <w:sz w:val="24"/>
          <w:szCs w:val="24"/>
        </w:rPr>
        <w:t xml:space="preserve"> and Tan (2012 </w:t>
      </w:r>
      <w:proofErr w:type="spellStart"/>
      <w:r>
        <w:rPr>
          <w:color w:val="000000"/>
          <w:sz w:val="24"/>
          <w:szCs w:val="24"/>
        </w:rPr>
        <w:t>a</w:t>
      </w:r>
      <w:proofErr w:type="gramStart"/>
      <w:r>
        <w:rPr>
          <w:color w:val="000000"/>
          <w:sz w:val="24"/>
          <w:szCs w:val="24"/>
        </w:rPr>
        <w:t>,b</w:t>
      </w:r>
      <w:proofErr w:type="spellEnd"/>
      <w:proofErr w:type="gramEnd"/>
      <w:r>
        <w:rPr>
          <w:color w:val="000000"/>
          <w:sz w:val="24"/>
          <w:szCs w:val="24"/>
        </w:rPr>
        <w:t>)</w:t>
      </w:r>
      <w:r w:rsidRPr="0036354B">
        <w:rPr>
          <w:color w:val="000000"/>
          <w:sz w:val="24"/>
          <w:szCs w:val="24"/>
        </w:rPr>
        <w:t xml:space="preserve"> </w:t>
      </w:r>
      <w:r>
        <w:rPr>
          <w:color w:val="000000"/>
          <w:sz w:val="24"/>
          <w:szCs w:val="24"/>
        </w:rPr>
        <w:t>a</w:t>
      </w:r>
      <w:r w:rsidRPr="0036354B">
        <w:rPr>
          <w:color w:val="000000"/>
          <w:sz w:val="24"/>
          <w:szCs w:val="24"/>
        </w:rPr>
        <w:t xml:space="preserve">nd </w:t>
      </w:r>
      <w:proofErr w:type="spellStart"/>
      <w:r w:rsidRPr="0036354B">
        <w:rPr>
          <w:color w:val="000000"/>
          <w:sz w:val="24"/>
          <w:szCs w:val="24"/>
        </w:rPr>
        <w:t>Sufian</w:t>
      </w:r>
      <w:proofErr w:type="spellEnd"/>
      <w:r w:rsidRPr="0036354B">
        <w:rPr>
          <w:color w:val="000000"/>
          <w:sz w:val="24"/>
          <w:szCs w:val="24"/>
        </w:rPr>
        <w:t xml:space="preserve"> </w:t>
      </w:r>
      <w:r>
        <w:rPr>
          <w:color w:val="000000"/>
          <w:sz w:val="24"/>
          <w:szCs w:val="24"/>
        </w:rPr>
        <w:t xml:space="preserve">and </w:t>
      </w:r>
      <w:r w:rsidRPr="0036354B">
        <w:rPr>
          <w:color w:val="222222"/>
          <w:sz w:val="24"/>
          <w:szCs w:val="24"/>
          <w:shd w:val="clear" w:color="auto" w:fill="FFFFFF"/>
        </w:rPr>
        <w:t xml:space="preserve">Shah </w:t>
      </w:r>
      <w:proofErr w:type="spellStart"/>
      <w:r w:rsidRPr="0036354B">
        <w:rPr>
          <w:color w:val="222222"/>
          <w:sz w:val="24"/>
          <w:szCs w:val="24"/>
          <w:shd w:val="clear" w:color="auto" w:fill="FFFFFF"/>
        </w:rPr>
        <w:t>Habibullah</w:t>
      </w:r>
      <w:proofErr w:type="spellEnd"/>
      <w:r w:rsidRPr="0036354B">
        <w:rPr>
          <w:color w:val="000000"/>
          <w:sz w:val="24"/>
          <w:szCs w:val="24"/>
        </w:rPr>
        <w:t>(2014) used firm size measured by total assets as a determinant of bank performance.</w:t>
      </w:r>
      <w:r w:rsidRPr="0036354B">
        <w:rPr>
          <w:iCs/>
          <w:color w:val="000000"/>
          <w:sz w:val="24"/>
          <w:szCs w:val="24"/>
        </w:rPr>
        <w:t xml:space="preserve"> Craig and </w:t>
      </w:r>
      <w:proofErr w:type="spellStart"/>
      <w:r w:rsidRPr="0036354B">
        <w:rPr>
          <w:iCs/>
          <w:color w:val="000000"/>
          <w:sz w:val="24"/>
          <w:szCs w:val="24"/>
        </w:rPr>
        <w:t>Diga</w:t>
      </w:r>
      <w:proofErr w:type="spellEnd"/>
      <w:r w:rsidRPr="0036354B">
        <w:rPr>
          <w:iCs/>
          <w:color w:val="000000"/>
          <w:sz w:val="24"/>
          <w:szCs w:val="24"/>
        </w:rPr>
        <w:t xml:space="preserve"> (1998) utilized total assets as a proxy for firm size for their analysis.</w:t>
      </w:r>
    </w:p>
    <w:p w:rsidR="00955C42" w:rsidRPr="0036354B" w:rsidRDefault="00955C42" w:rsidP="00955C42">
      <w:pPr>
        <w:autoSpaceDE w:val="0"/>
        <w:autoSpaceDN w:val="0"/>
        <w:adjustRightInd w:val="0"/>
        <w:spacing w:after="0" w:line="240" w:lineRule="auto"/>
        <w:rPr>
          <w:b/>
          <w:iCs/>
          <w:color w:val="000000"/>
          <w:sz w:val="24"/>
          <w:szCs w:val="24"/>
        </w:rPr>
      </w:pPr>
    </w:p>
    <w:p w:rsidR="00955C42" w:rsidRPr="00BE7142" w:rsidRDefault="00955C42" w:rsidP="00955C42">
      <w:pPr>
        <w:autoSpaceDE w:val="0"/>
        <w:autoSpaceDN w:val="0"/>
        <w:adjustRightInd w:val="0"/>
        <w:spacing w:after="0" w:line="240" w:lineRule="auto"/>
        <w:rPr>
          <w:b/>
          <w:i/>
          <w:iCs/>
          <w:color w:val="000000"/>
          <w:sz w:val="24"/>
          <w:szCs w:val="24"/>
        </w:rPr>
      </w:pPr>
      <w:r w:rsidRPr="00BE7142">
        <w:rPr>
          <w:b/>
          <w:i/>
          <w:iCs/>
          <w:color w:val="000000"/>
          <w:sz w:val="24"/>
          <w:szCs w:val="24"/>
        </w:rPr>
        <w:t>4.3 Conceptual framework</w:t>
      </w:r>
    </w:p>
    <w:p w:rsidR="00955C42" w:rsidRPr="0036354B" w:rsidRDefault="00955C42" w:rsidP="00955C42">
      <w:pPr>
        <w:autoSpaceDE w:val="0"/>
        <w:autoSpaceDN w:val="0"/>
        <w:adjustRightInd w:val="0"/>
        <w:spacing w:after="0" w:line="240" w:lineRule="auto"/>
        <w:rPr>
          <w:iCs/>
          <w:color w:val="000000"/>
          <w:sz w:val="24"/>
          <w:szCs w:val="24"/>
        </w:rPr>
      </w:pPr>
      <w:r w:rsidRPr="0036354B">
        <w:rPr>
          <w:iCs/>
          <w:color w:val="000000"/>
          <w:sz w:val="24"/>
          <w:szCs w:val="24"/>
        </w:rPr>
        <w:t>Based on the theoretical framework explain in figure 3.1, the following conceptual framework is developed to ascertain the relationship between independent variables and dependent variable.</w:t>
      </w:r>
    </w:p>
    <w:p w:rsidR="00955C42" w:rsidRPr="0036354B" w:rsidRDefault="00955C42" w:rsidP="00955C42">
      <w:pPr>
        <w:autoSpaceDE w:val="0"/>
        <w:autoSpaceDN w:val="0"/>
        <w:adjustRightInd w:val="0"/>
        <w:spacing w:after="0" w:line="240" w:lineRule="auto"/>
        <w:ind w:firstLine="720"/>
        <w:rPr>
          <w:iCs/>
          <w:color w:val="000000"/>
          <w:sz w:val="24"/>
          <w:szCs w:val="24"/>
        </w:rPr>
      </w:pPr>
    </w:p>
    <w:p w:rsidR="00955C42" w:rsidRPr="0036354B" w:rsidRDefault="00955C42" w:rsidP="00955C42">
      <w:pPr>
        <w:autoSpaceDE w:val="0"/>
        <w:autoSpaceDN w:val="0"/>
        <w:adjustRightInd w:val="0"/>
        <w:spacing w:after="0" w:line="240" w:lineRule="auto"/>
        <w:rPr>
          <w:iCs/>
          <w:color w:val="000000"/>
          <w:sz w:val="24"/>
          <w:szCs w:val="24"/>
        </w:rPr>
      </w:pPr>
      <w:r w:rsidRPr="0036354B">
        <w:rPr>
          <w:i/>
          <w:color w:val="000000"/>
          <w:sz w:val="24"/>
          <w:szCs w:val="24"/>
        </w:rPr>
        <w:t>Figure 4.1</w:t>
      </w:r>
      <w:r w:rsidRPr="0036354B">
        <w:rPr>
          <w:color w:val="000000"/>
          <w:sz w:val="24"/>
          <w:szCs w:val="24"/>
        </w:rPr>
        <w:t xml:space="preserve"> Conceptual Framework</w:t>
      </w:r>
    </w:p>
    <w:p w:rsidR="00955C42" w:rsidRPr="0036354B" w:rsidRDefault="00955C42" w:rsidP="00955C42">
      <w:pPr>
        <w:autoSpaceDE w:val="0"/>
        <w:autoSpaceDN w:val="0"/>
        <w:adjustRightInd w:val="0"/>
        <w:spacing w:after="0" w:line="240" w:lineRule="auto"/>
        <w:rPr>
          <w:color w:val="000000"/>
          <w:sz w:val="24"/>
          <w:szCs w:val="24"/>
        </w:rPr>
      </w:pPr>
      <w:r w:rsidRPr="00507347">
        <w:rPr>
          <w:noProof/>
          <w:color w:val="000000"/>
          <w:sz w:val="24"/>
          <w:szCs w:val="24"/>
        </w:rPr>
        <w:pict>
          <v:group id="Group 31" o:spid="_x0000_s1046" style="position:absolute;left:0;text-align:left;margin-left:2.25pt;margin-top:6.3pt;width:410.65pt;height:277.5pt;z-index:251665408" coordsize="52152,35242">
            <v:line id="Straight Connector 26" o:spid="_x0000_s1047" style="position:absolute;visibility:visible" from="20764,1428" to="34895,11528" o:connectortype="straight"/>
            <v:line id="Straight Connector 27" o:spid="_x0000_s1048" style="position:absolute;visibility:visible" from="20383,7524" to="34505,12020" o:connectortype="straight"/>
            <v:line id="Straight Connector 28" o:spid="_x0000_s1049" style="position:absolute;flip:y;visibility:visible" from="20383,12287" to="34505,14058" o:connectortype="straight"/>
            <v:line id="Straight Connector 29" o:spid="_x0000_s1050" style="position:absolute;flip:y;visibility:visible" from="20383,12287" to="34505,20402" o:connectortype="straight"/>
            <v:line id="Straight Connector 30" o:spid="_x0000_s1051" style="position:absolute;flip:y;visibility:visible" from="20478,12382" to="34601,26365" o:connectortype="straight"/>
            <v:group id="Group 291" o:spid="_x0000_s1052" style="position:absolute;width:52152;height:35242" coordsize="52152,35242">
              <v:rect id="Rectangle 288" o:spid="_x0000_s1053" style="position:absolute;left:95;top:30289;width:20305;height:4953;visibility:visible;v-text-anchor:middle" strokeweight="2pt">
                <v:textbox>
                  <w:txbxContent>
                    <w:p w:rsidR="00955C42" w:rsidRPr="007A1C53" w:rsidRDefault="00955C42" w:rsidP="00955C42">
                      <w:pPr>
                        <w:jc w:val="center"/>
                        <w:rPr>
                          <w:rFonts w:ascii="Times New Roman" w:hAnsi="Times New Roman"/>
                          <w:sz w:val="24"/>
                          <w:szCs w:val="24"/>
                        </w:rPr>
                      </w:pPr>
                      <w:r w:rsidRPr="007A1C53">
                        <w:rPr>
                          <w:rFonts w:ascii="Times New Roman" w:hAnsi="Times New Roman"/>
                          <w:sz w:val="24"/>
                          <w:szCs w:val="24"/>
                        </w:rPr>
                        <w:t>Firm size</w:t>
                      </w:r>
                    </w:p>
                  </w:txbxContent>
                </v:textbox>
              </v:rect>
              <v:rect id="Rectangle 1" o:spid="_x0000_s1054" style="position:absolute;width:20812;height:4776;visibility:visible;v-text-anchor:middle" strokeweight="2pt">
                <v:textbox>
                  <w:txbxContent>
                    <w:p w:rsidR="00955C42" w:rsidRPr="001F68D7" w:rsidRDefault="00955C42" w:rsidP="00955C42">
                      <w:pPr>
                        <w:jc w:val="center"/>
                        <w:rPr>
                          <w:rFonts w:ascii="Times New Roman" w:hAnsi="Times New Roman"/>
                        </w:rPr>
                      </w:pPr>
                      <w:r w:rsidRPr="001F68D7">
                        <w:rPr>
                          <w:rFonts w:ascii="Times New Roman" w:hAnsi="Times New Roman"/>
                        </w:rPr>
                        <w:t>Interest rate risk management capability</w:t>
                      </w:r>
                    </w:p>
                  </w:txbxContent>
                </v:textbox>
              </v:rect>
              <v:rect id="Rectangle 18" o:spid="_x0000_s1055" style="position:absolute;left:95;top:6000;width:20740;height:4299;visibility:visible;v-text-anchor:middle" strokeweight="2pt">
                <v:textbox>
                  <w:txbxContent>
                    <w:p w:rsidR="00955C42" w:rsidRPr="002112B8" w:rsidRDefault="00955C42" w:rsidP="00955C42">
                      <w:pPr>
                        <w:jc w:val="center"/>
                        <w:rPr>
                          <w:rFonts w:ascii="Times New Roman" w:hAnsi="Times New Roman"/>
                        </w:rPr>
                      </w:pPr>
                      <w:r w:rsidRPr="002112B8">
                        <w:rPr>
                          <w:rFonts w:ascii="Times New Roman" w:hAnsi="Times New Roman"/>
                        </w:rPr>
                        <w:t>Bank income diversification</w:t>
                      </w:r>
                    </w:p>
                  </w:txbxContent>
                </v:textbox>
              </v:rect>
              <v:rect id="Rectangle 19" o:spid="_x0000_s1056" style="position:absolute;left:95;top:11715;width:20332;height:4982;visibility:visible;v-text-anchor:middle" strokeweight="2pt">
                <v:textbox>
                  <w:txbxContent>
                    <w:p w:rsidR="00955C42" w:rsidRPr="002112B8" w:rsidRDefault="00955C42" w:rsidP="00955C42">
                      <w:pPr>
                        <w:jc w:val="center"/>
                        <w:rPr>
                          <w:rFonts w:ascii="Times New Roman" w:hAnsi="Times New Roman"/>
                        </w:rPr>
                      </w:pPr>
                      <w:r w:rsidRPr="002112B8">
                        <w:rPr>
                          <w:rFonts w:ascii="Times New Roman" w:hAnsi="Times New Roman"/>
                        </w:rPr>
                        <w:t>Credit risk management capability</w:t>
                      </w:r>
                    </w:p>
                  </w:txbxContent>
                </v:textbox>
              </v:rect>
              <v:rect id="Rectangle 20" o:spid="_x0000_s1057" style="position:absolute;left:95;top:18097;width:20332;height:4777;visibility:visible;v-text-anchor:middle" strokeweight="2pt">
                <v:textbox>
                  <w:txbxContent>
                    <w:p w:rsidR="00955C42" w:rsidRPr="002112B8" w:rsidRDefault="00955C42" w:rsidP="00955C42">
                      <w:pPr>
                        <w:jc w:val="center"/>
                        <w:rPr>
                          <w:rFonts w:ascii="Times New Roman" w:hAnsi="Times New Roman"/>
                        </w:rPr>
                      </w:pPr>
                      <w:r w:rsidRPr="002112B8">
                        <w:rPr>
                          <w:rFonts w:ascii="Times New Roman" w:hAnsi="Times New Roman"/>
                        </w:rPr>
                        <w:t>Solvency risk management capability</w:t>
                      </w:r>
                    </w:p>
                  </w:txbxContent>
                </v:textbox>
              </v:rect>
              <v:rect id="Rectangle 21" o:spid="_x0000_s1058" style="position:absolute;left:95;top:24193;width:20332;height:4572;visibility:visible;v-text-anchor:middle" strokeweight="2pt">
                <v:textbox>
                  <w:txbxContent>
                    <w:p w:rsidR="00955C42" w:rsidRPr="002112B8" w:rsidRDefault="00955C42" w:rsidP="00955C42">
                      <w:pPr>
                        <w:jc w:val="center"/>
                        <w:rPr>
                          <w:rFonts w:ascii="Times New Roman" w:hAnsi="Times New Roman"/>
                        </w:rPr>
                      </w:pPr>
                      <w:r w:rsidRPr="002112B8">
                        <w:rPr>
                          <w:rFonts w:ascii="Times New Roman" w:hAnsi="Times New Roman"/>
                        </w:rPr>
                        <w:t>Market return</w:t>
                      </w:r>
                    </w:p>
                  </w:txbxContent>
                </v:textbox>
              </v:rect>
              <v:rect id="Rectangle 22" o:spid="_x0000_s1059" style="position:absolute;left:34956;top:10668;width:17196;height:3543;visibility:visible;v-text-anchor:middle" strokeweight="2pt">
                <v:textbox>
                  <w:txbxContent>
                    <w:p w:rsidR="00955C42" w:rsidRPr="002112B8" w:rsidRDefault="00955C42" w:rsidP="00955C42">
                      <w:pPr>
                        <w:jc w:val="center"/>
                        <w:rPr>
                          <w:rFonts w:ascii="Times New Roman" w:hAnsi="Times New Roman"/>
                        </w:rPr>
                      </w:pPr>
                      <w:r w:rsidRPr="002112B8">
                        <w:rPr>
                          <w:rFonts w:ascii="Times New Roman" w:hAnsi="Times New Roman"/>
                        </w:rPr>
                        <w:t>Bank stock returns</w:t>
                      </w:r>
                    </w:p>
                  </w:txbxContent>
                </v:textbox>
              </v:rect>
              <v:line id="Straight Connector 289" o:spid="_x0000_s1060" style="position:absolute;flip:y;visibility:visible" from="20383,12382" to="34918,32634" o:connectortype="straight"/>
            </v:group>
          </v:group>
        </w:pict>
      </w: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36354B" w:rsidRDefault="00955C42" w:rsidP="00955C42">
      <w:pPr>
        <w:autoSpaceDE w:val="0"/>
        <w:autoSpaceDN w:val="0"/>
        <w:adjustRightInd w:val="0"/>
        <w:spacing w:after="0" w:line="240" w:lineRule="auto"/>
        <w:rPr>
          <w:i/>
          <w:color w:val="000000"/>
          <w:sz w:val="24"/>
          <w:szCs w:val="24"/>
        </w:rPr>
      </w:pPr>
    </w:p>
    <w:p w:rsidR="00955C42" w:rsidRPr="00BE7142" w:rsidRDefault="00955C42" w:rsidP="00955C42">
      <w:pPr>
        <w:autoSpaceDE w:val="0"/>
        <w:autoSpaceDN w:val="0"/>
        <w:adjustRightInd w:val="0"/>
        <w:spacing w:after="0" w:line="240" w:lineRule="auto"/>
        <w:rPr>
          <w:b/>
          <w:color w:val="000000"/>
          <w:sz w:val="24"/>
          <w:szCs w:val="24"/>
        </w:rPr>
      </w:pPr>
      <w:r w:rsidRPr="00BE7142">
        <w:rPr>
          <w:b/>
          <w:i/>
          <w:color w:val="000000"/>
          <w:sz w:val="24"/>
          <w:szCs w:val="24"/>
        </w:rPr>
        <w:t xml:space="preserve">Source: </w:t>
      </w:r>
      <w:r w:rsidRPr="00BE7142">
        <w:rPr>
          <w:b/>
          <w:color w:val="000000"/>
          <w:sz w:val="24"/>
          <w:szCs w:val="24"/>
        </w:rPr>
        <w:t xml:space="preserve">Author </w:t>
      </w:r>
    </w:p>
    <w:p w:rsidR="00955C42" w:rsidRPr="0036354B" w:rsidRDefault="00955C42" w:rsidP="00955C42">
      <w:pPr>
        <w:autoSpaceDE w:val="0"/>
        <w:autoSpaceDN w:val="0"/>
        <w:adjustRightInd w:val="0"/>
        <w:spacing w:after="0" w:line="240" w:lineRule="auto"/>
        <w:rPr>
          <w:iCs/>
          <w:color w:val="FF0000"/>
          <w:sz w:val="24"/>
          <w:szCs w:val="24"/>
        </w:rPr>
      </w:pPr>
      <w:r w:rsidRPr="0036354B">
        <w:rPr>
          <w:color w:val="000000"/>
          <w:sz w:val="24"/>
          <w:szCs w:val="24"/>
        </w:rPr>
        <w:t>Figure 4.1 shows the relationship between four risk management variables of interest rate risk management capability, bank income diversification, credit risk management capability, and solvency risk management capability and bank stock returns. The market return is considered as an independent variable since the study utilizes the market model to ascertain the relationship between independent and dependent variables. One control variable of firm size is used to increase the explanatory power of the model.</w:t>
      </w:r>
    </w:p>
    <w:p w:rsidR="00955C42" w:rsidRPr="0036354B" w:rsidRDefault="00955C42" w:rsidP="00955C42">
      <w:pPr>
        <w:autoSpaceDE w:val="0"/>
        <w:autoSpaceDN w:val="0"/>
        <w:adjustRightInd w:val="0"/>
        <w:spacing w:after="0" w:line="240" w:lineRule="auto"/>
        <w:rPr>
          <w:iCs/>
          <w:color w:val="FF0000"/>
          <w:sz w:val="24"/>
          <w:szCs w:val="24"/>
        </w:rPr>
      </w:pPr>
    </w:p>
    <w:p w:rsidR="00955C42" w:rsidRPr="00BE7142" w:rsidRDefault="00955C42" w:rsidP="00955C42">
      <w:pPr>
        <w:autoSpaceDE w:val="0"/>
        <w:autoSpaceDN w:val="0"/>
        <w:adjustRightInd w:val="0"/>
        <w:spacing w:after="0" w:line="240" w:lineRule="auto"/>
        <w:rPr>
          <w:b/>
          <w:i/>
          <w:color w:val="000000"/>
          <w:sz w:val="24"/>
          <w:szCs w:val="24"/>
        </w:rPr>
      </w:pPr>
      <w:r w:rsidRPr="00BE7142">
        <w:rPr>
          <w:b/>
          <w:i/>
          <w:color w:val="000000"/>
          <w:sz w:val="24"/>
          <w:szCs w:val="24"/>
        </w:rPr>
        <w:t>4.4Data analysis</w:t>
      </w:r>
    </w:p>
    <w:p w:rsidR="00955C42" w:rsidRPr="0036354B" w:rsidRDefault="00955C42" w:rsidP="00955C42">
      <w:pPr>
        <w:autoSpaceDE w:val="0"/>
        <w:autoSpaceDN w:val="0"/>
        <w:adjustRightInd w:val="0"/>
        <w:spacing w:after="0" w:line="240" w:lineRule="auto"/>
        <w:rPr>
          <w:color w:val="000000"/>
          <w:sz w:val="24"/>
          <w:szCs w:val="24"/>
        </w:rPr>
      </w:pPr>
      <w:r w:rsidRPr="0036354B">
        <w:rPr>
          <w:bCs/>
          <w:color w:val="000000"/>
          <w:sz w:val="24"/>
          <w:szCs w:val="24"/>
        </w:rPr>
        <w:t xml:space="preserve">To examine the sensitivity of bank risk management capabilities on bank stock returns, the </w:t>
      </w:r>
      <w:r w:rsidRPr="0036354B">
        <w:rPr>
          <w:color w:val="000000"/>
          <w:sz w:val="24"/>
          <w:szCs w:val="24"/>
        </w:rPr>
        <w:t xml:space="preserve">standard market model is used. Besides, descriptive statistics that provide a simple summary of the sample were used to describe the basic features of the data in the study. </w:t>
      </w:r>
    </w:p>
    <w:p w:rsidR="00955C42" w:rsidRPr="0036354B" w:rsidRDefault="00955C42" w:rsidP="00955C42">
      <w:pPr>
        <w:tabs>
          <w:tab w:val="left" w:pos="1350"/>
        </w:tabs>
        <w:autoSpaceDE w:val="0"/>
        <w:autoSpaceDN w:val="0"/>
        <w:adjustRightInd w:val="0"/>
        <w:spacing w:after="0" w:line="240" w:lineRule="auto"/>
        <w:rPr>
          <w:b/>
          <w:color w:val="000000"/>
          <w:sz w:val="24"/>
          <w:szCs w:val="24"/>
        </w:rPr>
      </w:pPr>
      <w:r>
        <w:rPr>
          <w:b/>
          <w:color w:val="000000"/>
          <w:sz w:val="24"/>
          <w:szCs w:val="24"/>
        </w:rPr>
        <w:tab/>
      </w:r>
    </w:p>
    <w:p w:rsidR="00955C42" w:rsidRPr="00BE7142" w:rsidRDefault="00955C42" w:rsidP="00955C42">
      <w:pPr>
        <w:autoSpaceDE w:val="0"/>
        <w:autoSpaceDN w:val="0"/>
        <w:adjustRightInd w:val="0"/>
        <w:spacing w:after="0" w:line="240" w:lineRule="auto"/>
        <w:rPr>
          <w:b/>
          <w:i/>
          <w:color w:val="000000"/>
          <w:sz w:val="24"/>
          <w:szCs w:val="24"/>
        </w:rPr>
      </w:pPr>
      <w:r w:rsidRPr="00BE7142">
        <w:rPr>
          <w:b/>
          <w:i/>
          <w:color w:val="000000"/>
          <w:sz w:val="24"/>
          <w:szCs w:val="24"/>
        </w:rPr>
        <w:t>4.4.1 Market model</w:t>
      </w:r>
    </w:p>
    <w:p w:rsidR="00955C42" w:rsidRPr="0036354B" w:rsidRDefault="00955C42" w:rsidP="00955C42">
      <w:pPr>
        <w:autoSpaceDE w:val="0"/>
        <w:autoSpaceDN w:val="0"/>
        <w:adjustRightInd w:val="0"/>
        <w:spacing w:after="0" w:line="240" w:lineRule="auto"/>
        <w:rPr>
          <w:sz w:val="24"/>
          <w:szCs w:val="24"/>
        </w:rPr>
      </w:pPr>
      <w:proofErr w:type="spellStart"/>
      <w:r w:rsidRPr="0036354B">
        <w:rPr>
          <w:sz w:val="24"/>
          <w:szCs w:val="24"/>
        </w:rPr>
        <w:t>Fama</w:t>
      </w:r>
      <w:proofErr w:type="spellEnd"/>
      <w:r w:rsidRPr="0036354B">
        <w:rPr>
          <w:sz w:val="24"/>
          <w:szCs w:val="24"/>
        </w:rPr>
        <w:t xml:space="preserve"> (1973) introduced a model called the market model, on the argument that the market model is more reliable in the statistical sense than CAPM. In the literature Flannery and James (1984), </w:t>
      </w:r>
      <w:proofErr w:type="spellStart"/>
      <w:r w:rsidRPr="0036354B">
        <w:rPr>
          <w:sz w:val="24"/>
          <w:szCs w:val="24"/>
        </w:rPr>
        <w:t>Choi</w:t>
      </w:r>
      <w:proofErr w:type="spellEnd"/>
      <w:r>
        <w:rPr>
          <w:sz w:val="24"/>
          <w:szCs w:val="24"/>
        </w:rPr>
        <w:t xml:space="preserve"> et al. (1992)</w:t>
      </w:r>
      <w:r w:rsidRPr="0036354B">
        <w:rPr>
          <w:sz w:val="24"/>
          <w:szCs w:val="24"/>
        </w:rPr>
        <w:t xml:space="preserve">, </w:t>
      </w:r>
      <w:proofErr w:type="spellStart"/>
      <w:r w:rsidRPr="0036354B">
        <w:rPr>
          <w:sz w:val="24"/>
          <w:szCs w:val="24"/>
        </w:rPr>
        <w:t>Choi</w:t>
      </w:r>
      <w:proofErr w:type="spellEnd"/>
      <w:r w:rsidRPr="0036354B">
        <w:rPr>
          <w:sz w:val="24"/>
          <w:szCs w:val="24"/>
        </w:rPr>
        <w:t xml:space="preserve"> and </w:t>
      </w:r>
      <w:proofErr w:type="spellStart"/>
      <w:r w:rsidRPr="0036354B">
        <w:rPr>
          <w:sz w:val="24"/>
          <w:szCs w:val="24"/>
        </w:rPr>
        <w:t>Elyasiani</w:t>
      </w:r>
      <w:proofErr w:type="spellEnd"/>
      <w:r w:rsidRPr="0036354B">
        <w:rPr>
          <w:sz w:val="24"/>
          <w:szCs w:val="24"/>
        </w:rPr>
        <w:t xml:space="preserve"> (1996), </w:t>
      </w:r>
      <w:proofErr w:type="spellStart"/>
      <w:r w:rsidRPr="0036354B">
        <w:rPr>
          <w:sz w:val="24"/>
          <w:szCs w:val="24"/>
        </w:rPr>
        <w:t>Atindéhou</w:t>
      </w:r>
      <w:proofErr w:type="spellEnd"/>
      <w:r w:rsidRPr="0036354B">
        <w:rPr>
          <w:sz w:val="24"/>
          <w:szCs w:val="24"/>
        </w:rPr>
        <w:t xml:space="preserve"> et al. (2001), </w:t>
      </w:r>
      <w:proofErr w:type="spellStart"/>
      <w:r w:rsidRPr="0036354B">
        <w:rPr>
          <w:sz w:val="24"/>
          <w:szCs w:val="24"/>
        </w:rPr>
        <w:lastRenderedPageBreak/>
        <w:t>Sensarma</w:t>
      </w:r>
      <w:proofErr w:type="spellEnd"/>
      <w:r w:rsidRPr="0036354B">
        <w:rPr>
          <w:sz w:val="24"/>
          <w:szCs w:val="24"/>
        </w:rPr>
        <w:t xml:space="preserve"> and </w:t>
      </w:r>
      <w:proofErr w:type="spellStart"/>
      <w:r w:rsidRPr="0036354B">
        <w:rPr>
          <w:sz w:val="24"/>
          <w:szCs w:val="24"/>
        </w:rPr>
        <w:t>Jayadev</w:t>
      </w:r>
      <w:proofErr w:type="spellEnd"/>
      <w:r w:rsidRPr="0036354B">
        <w:rPr>
          <w:sz w:val="24"/>
          <w:szCs w:val="24"/>
        </w:rPr>
        <w:t xml:space="preserve"> (2009) </w:t>
      </w:r>
      <w:r>
        <w:rPr>
          <w:sz w:val="24"/>
          <w:szCs w:val="24"/>
        </w:rPr>
        <w:t>a</w:t>
      </w:r>
      <w:r w:rsidRPr="0036354B">
        <w:rPr>
          <w:sz w:val="24"/>
          <w:szCs w:val="24"/>
        </w:rPr>
        <w:t xml:space="preserve">nd many researchers used this Market model to assess the relationship between stock returns and independent variables used in their studies other than market return as predictors of stock returns. This study also used the market model to analyze the impact of risk management variables on stock returns. Following multiple regression </w:t>
      </w:r>
      <w:proofErr w:type="gramStart"/>
      <w:r w:rsidRPr="0036354B">
        <w:rPr>
          <w:sz w:val="24"/>
          <w:szCs w:val="24"/>
        </w:rPr>
        <w:t>model</w:t>
      </w:r>
      <w:proofErr w:type="gramEnd"/>
      <w:r w:rsidRPr="0036354B">
        <w:rPr>
          <w:sz w:val="24"/>
          <w:szCs w:val="24"/>
        </w:rPr>
        <w:t xml:space="preserve"> was estimated to find the relationship between risk management variables and bank stock returns.</w:t>
      </w:r>
    </w:p>
    <w:p w:rsidR="00955C42" w:rsidRPr="0036354B" w:rsidRDefault="00955C42" w:rsidP="00955C42">
      <w:pPr>
        <w:autoSpaceDE w:val="0"/>
        <w:autoSpaceDN w:val="0"/>
        <w:adjustRightInd w:val="0"/>
        <w:spacing w:after="0" w:line="240" w:lineRule="auto"/>
        <w:rPr>
          <w:b/>
          <w:color w:val="000000"/>
          <w:sz w:val="24"/>
          <w:szCs w:val="24"/>
        </w:rPr>
      </w:pPr>
    </w:p>
    <w:p w:rsidR="00955C42" w:rsidRPr="0036354B" w:rsidRDefault="00955C42" w:rsidP="00955C42">
      <w:pPr>
        <w:tabs>
          <w:tab w:val="left" w:pos="8220"/>
        </w:tabs>
        <w:spacing w:after="0" w:line="240" w:lineRule="auto"/>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r>
            <w:rPr>
              <w:rFonts w:ascii="Cambria Math" w:hAnsi="Cambria Math"/>
              <w:sz w:val="24"/>
              <w:szCs w:val="24"/>
            </w:rPr>
            <m:t>=α+</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NETIM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NNIM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PROV</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sSub>
            <m:sSubPr>
              <m:ctrlPr>
                <w:rPr>
                  <w:rFonts w:ascii="Cambria Math" w:hAnsi="Cambria Math"/>
                  <w:i/>
                  <w:sz w:val="24"/>
                  <w:szCs w:val="24"/>
                </w:rPr>
              </m:ctrlPr>
            </m:sSubPr>
            <m:e>
              <m:r>
                <w:rPr>
                  <w:rFonts w:ascii="Cambria Math" w:hAnsi="Cambria Math"/>
                  <w:sz w:val="24"/>
                  <w:szCs w:val="24"/>
                </w:rPr>
                <m:t>CAR</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m:t>
              </m:r>
            </m:sub>
          </m:sSub>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oMath>
      </m:oMathPara>
    </w:p>
    <w:p w:rsidR="00955C42" w:rsidRPr="0036354B" w:rsidRDefault="00955C42" w:rsidP="00955C42">
      <w:pPr>
        <w:autoSpaceDE w:val="0"/>
        <w:autoSpaceDN w:val="0"/>
        <w:adjustRightInd w:val="0"/>
        <w:spacing w:after="0" w:line="240" w:lineRule="auto"/>
        <w:rPr>
          <w:color w:val="000000"/>
          <w:sz w:val="24"/>
          <w:szCs w:val="24"/>
        </w:rPr>
      </w:pPr>
      <w:proofErr w:type="gramStart"/>
      <w:r w:rsidRPr="0036354B">
        <w:rPr>
          <w:color w:val="000000"/>
          <w:sz w:val="24"/>
          <w:szCs w:val="24"/>
        </w:rPr>
        <w:t>Where :</w:t>
      </w:r>
      <w:proofErr w:type="gramEnd"/>
      <w:r w:rsidRPr="0036354B">
        <w:rPr>
          <w:color w:val="000000"/>
          <w:sz w:val="24"/>
          <w:szCs w:val="24"/>
        </w:rPr>
        <w:t xml:space="preserve"> </w:t>
      </w:r>
    </w:p>
    <w:p w:rsidR="00955C42" w:rsidRPr="0036354B" w:rsidRDefault="00955C42" w:rsidP="00955C42">
      <w:pPr>
        <w:autoSpaceDE w:val="0"/>
        <w:autoSpaceDN w:val="0"/>
        <w:adjustRightInd w:val="0"/>
        <w:spacing w:after="0" w:line="240" w:lineRule="auto"/>
        <w:rPr>
          <w:color w:val="000000"/>
          <w:sz w:val="24"/>
          <w:szCs w:val="24"/>
        </w:rPr>
      </w:pPr>
      <w:r w:rsidRPr="0036354B">
        <w:rPr>
          <w:i/>
          <w:iCs/>
          <w:color w:val="000000"/>
          <w:sz w:val="24"/>
          <w:szCs w:val="24"/>
        </w:rPr>
        <w:t xml:space="preserve">R it </w:t>
      </w:r>
      <w:r w:rsidRPr="0036354B">
        <w:rPr>
          <w:color w:val="000000"/>
          <w:sz w:val="24"/>
          <w:szCs w:val="24"/>
        </w:rPr>
        <w:t xml:space="preserve">= annual return of stock </w:t>
      </w:r>
      <w:proofErr w:type="spellStart"/>
      <w:r w:rsidRPr="0036354B">
        <w:rPr>
          <w:i/>
          <w:iCs/>
          <w:color w:val="000000"/>
          <w:sz w:val="24"/>
          <w:szCs w:val="24"/>
        </w:rPr>
        <w:t>i</w:t>
      </w:r>
      <w:proofErr w:type="spellEnd"/>
      <w:r w:rsidRPr="0036354B">
        <w:rPr>
          <w:i/>
          <w:iCs/>
          <w:color w:val="000000"/>
          <w:sz w:val="24"/>
          <w:szCs w:val="24"/>
        </w:rPr>
        <w:t xml:space="preserve"> </w:t>
      </w:r>
      <w:r w:rsidRPr="0036354B">
        <w:rPr>
          <w:color w:val="000000"/>
          <w:sz w:val="24"/>
          <w:szCs w:val="24"/>
        </w:rPr>
        <w:t xml:space="preserve">at time </w:t>
      </w:r>
      <w:r w:rsidRPr="0036354B">
        <w:rPr>
          <w:i/>
          <w:iCs/>
          <w:color w:val="000000"/>
          <w:sz w:val="24"/>
          <w:szCs w:val="24"/>
        </w:rPr>
        <w:t xml:space="preserve">t </w:t>
      </w:r>
    </w:p>
    <w:p w:rsidR="00955C42" w:rsidRPr="0036354B" w:rsidRDefault="00955C42" w:rsidP="00955C42">
      <w:pPr>
        <w:autoSpaceDE w:val="0"/>
        <w:autoSpaceDN w:val="0"/>
        <w:adjustRightInd w:val="0"/>
        <w:spacing w:after="0" w:line="240" w:lineRule="auto"/>
        <w:rPr>
          <w:color w:val="000000"/>
          <w:sz w:val="24"/>
          <w:szCs w:val="24"/>
        </w:rPr>
      </w:pPr>
      <w:proofErr w:type="gramStart"/>
      <w:r w:rsidRPr="0036354B">
        <w:rPr>
          <w:i/>
          <w:iCs/>
          <w:color w:val="000000"/>
          <w:sz w:val="24"/>
          <w:szCs w:val="24"/>
        </w:rPr>
        <w:t>β1</w:t>
      </w:r>
      <w:proofErr w:type="gramEnd"/>
      <w:r w:rsidRPr="0036354B">
        <w:rPr>
          <w:i/>
          <w:iCs/>
          <w:color w:val="000000"/>
          <w:sz w:val="24"/>
          <w:szCs w:val="24"/>
        </w:rPr>
        <w:t xml:space="preserve"> </w:t>
      </w:r>
      <w:proofErr w:type="spellStart"/>
      <w:r w:rsidRPr="0036354B">
        <w:rPr>
          <w:i/>
          <w:iCs/>
          <w:color w:val="000000"/>
          <w:sz w:val="24"/>
          <w:szCs w:val="24"/>
        </w:rPr>
        <w:t>Rmt</w:t>
      </w:r>
      <w:proofErr w:type="spellEnd"/>
      <w:r w:rsidRPr="0036354B">
        <w:rPr>
          <w:i/>
          <w:iCs/>
          <w:color w:val="000000"/>
          <w:sz w:val="24"/>
          <w:szCs w:val="24"/>
        </w:rPr>
        <w:t xml:space="preserve"> =</w:t>
      </w:r>
      <w:r w:rsidRPr="0036354B">
        <w:rPr>
          <w:color w:val="000000"/>
          <w:sz w:val="24"/>
          <w:szCs w:val="24"/>
        </w:rPr>
        <w:t xml:space="preserve">market return (BFI) at time </w:t>
      </w:r>
      <w:r w:rsidRPr="0036354B">
        <w:rPr>
          <w:i/>
          <w:iCs/>
          <w:color w:val="000000"/>
          <w:sz w:val="24"/>
          <w:szCs w:val="24"/>
        </w:rPr>
        <w:t xml:space="preserve">t </w:t>
      </w:r>
      <w:r w:rsidRPr="0036354B">
        <w:rPr>
          <w:color w:val="000000"/>
          <w:sz w:val="24"/>
          <w:szCs w:val="24"/>
        </w:rPr>
        <w:t xml:space="preserve">and the corresponding coefficient of β1 implies the systematic risk which controls for the individual bank stock return </w:t>
      </w:r>
    </w:p>
    <w:p w:rsidR="00955C42" w:rsidRPr="0036354B" w:rsidRDefault="00955C42" w:rsidP="00955C42">
      <w:pPr>
        <w:autoSpaceDE w:val="0"/>
        <w:autoSpaceDN w:val="0"/>
        <w:adjustRightInd w:val="0"/>
        <w:spacing w:after="0" w:line="240" w:lineRule="auto"/>
        <w:rPr>
          <w:color w:val="000000"/>
          <w:sz w:val="24"/>
          <w:szCs w:val="24"/>
        </w:rPr>
      </w:pPr>
      <w:proofErr w:type="gramStart"/>
      <w:r w:rsidRPr="0036354B">
        <w:rPr>
          <w:i/>
          <w:iCs/>
          <w:color w:val="000000"/>
          <w:sz w:val="24"/>
          <w:szCs w:val="24"/>
        </w:rPr>
        <w:t>β</w:t>
      </w:r>
      <w:r w:rsidRPr="0036354B">
        <w:rPr>
          <w:color w:val="000000"/>
          <w:sz w:val="24"/>
          <w:szCs w:val="24"/>
        </w:rPr>
        <w:t>2</w:t>
      </w:r>
      <w:proofErr w:type="gramEnd"/>
      <w:r w:rsidRPr="0036354B">
        <w:rPr>
          <w:color w:val="000000"/>
          <w:sz w:val="24"/>
          <w:szCs w:val="24"/>
        </w:rPr>
        <w:t xml:space="preserve"> </w:t>
      </w:r>
      <w:r w:rsidRPr="0036354B">
        <w:rPr>
          <w:i/>
          <w:iCs/>
          <w:color w:val="000000"/>
          <w:sz w:val="24"/>
          <w:szCs w:val="24"/>
        </w:rPr>
        <w:t xml:space="preserve">NETIM it </w:t>
      </w:r>
      <w:r w:rsidRPr="0036354B">
        <w:rPr>
          <w:color w:val="000000"/>
          <w:sz w:val="24"/>
          <w:szCs w:val="24"/>
        </w:rPr>
        <w:t xml:space="preserve">= net interest income to total asset ratio of the bank </w:t>
      </w:r>
      <w:proofErr w:type="spellStart"/>
      <w:r w:rsidRPr="0036354B">
        <w:rPr>
          <w:i/>
          <w:iCs/>
          <w:color w:val="000000"/>
          <w:sz w:val="24"/>
          <w:szCs w:val="24"/>
        </w:rPr>
        <w:t>i</w:t>
      </w:r>
      <w:proofErr w:type="spellEnd"/>
      <w:r w:rsidRPr="0036354B">
        <w:rPr>
          <w:i/>
          <w:iCs/>
          <w:color w:val="000000"/>
          <w:sz w:val="24"/>
          <w:szCs w:val="24"/>
        </w:rPr>
        <w:t xml:space="preserve"> </w:t>
      </w:r>
      <w:r w:rsidRPr="0036354B">
        <w:rPr>
          <w:color w:val="000000"/>
          <w:sz w:val="24"/>
          <w:szCs w:val="24"/>
        </w:rPr>
        <w:t xml:space="preserve">at time </w:t>
      </w:r>
      <w:r w:rsidRPr="0036354B">
        <w:rPr>
          <w:i/>
          <w:iCs/>
          <w:color w:val="000000"/>
          <w:sz w:val="24"/>
          <w:szCs w:val="24"/>
        </w:rPr>
        <w:t xml:space="preserve">t </w:t>
      </w:r>
      <w:r w:rsidRPr="0036354B">
        <w:rPr>
          <w:color w:val="000000"/>
          <w:sz w:val="24"/>
          <w:szCs w:val="24"/>
        </w:rPr>
        <w:t xml:space="preserve">and the corresponding coefficient </w:t>
      </w:r>
    </w:p>
    <w:p w:rsidR="00955C42" w:rsidRPr="0036354B" w:rsidRDefault="00955C42" w:rsidP="00955C42">
      <w:pPr>
        <w:tabs>
          <w:tab w:val="left" w:pos="8220"/>
        </w:tabs>
        <w:spacing w:after="0" w:line="240" w:lineRule="auto"/>
        <w:rPr>
          <w:sz w:val="24"/>
          <w:szCs w:val="24"/>
        </w:rPr>
      </w:pPr>
      <w:proofErr w:type="gramStart"/>
      <w:r w:rsidRPr="0036354B">
        <w:rPr>
          <w:i/>
          <w:iCs/>
          <w:color w:val="000000"/>
          <w:sz w:val="24"/>
          <w:szCs w:val="24"/>
        </w:rPr>
        <w:t>β3</w:t>
      </w:r>
      <w:proofErr w:type="gramEnd"/>
      <w:r w:rsidRPr="0036354B">
        <w:rPr>
          <w:i/>
          <w:iCs/>
          <w:color w:val="000000"/>
          <w:sz w:val="24"/>
          <w:szCs w:val="24"/>
        </w:rPr>
        <w:t xml:space="preserve"> NNIM it </w:t>
      </w:r>
      <w:r w:rsidRPr="0036354B">
        <w:rPr>
          <w:color w:val="000000"/>
          <w:sz w:val="24"/>
          <w:szCs w:val="24"/>
        </w:rPr>
        <w:t xml:space="preserve">=net noninterest income to total asset ratio of bank </w:t>
      </w:r>
      <w:proofErr w:type="spellStart"/>
      <w:r w:rsidRPr="0036354B">
        <w:rPr>
          <w:i/>
          <w:iCs/>
          <w:color w:val="000000"/>
          <w:sz w:val="24"/>
          <w:szCs w:val="24"/>
        </w:rPr>
        <w:t>i</w:t>
      </w:r>
      <w:proofErr w:type="spellEnd"/>
      <w:r w:rsidRPr="0036354B">
        <w:rPr>
          <w:i/>
          <w:iCs/>
          <w:color w:val="000000"/>
          <w:sz w:val="24"/>
          <w:szCs w:val="24"/>
        </w:rPr>
        <w:t xml:space="preserve"> </w:t>
      </w:r>
      <w:r w:rsidRPr="0036354B">
        <w:rPr>
          <w:color w:val="000000"/>
          <w:sz w:val="24"/>
          <w:szCs w:val="24"/>
        </w:rPr>
        <w:t xml:space="preserve">at time </w:t>
      </w:r>
      <w:r w:rsidRPr="0036354B">
        <w:rPr>
          <w:i/>
          <w:iCs/>
          <w:color w:val="000000"/>
          <w:sz w:val="24"/>
          <w:szCs w:val="24"/>
        </w:rPr>
        <w:t xml:space="preserve">t </w:t>
      </w:r>
      <w:r w:rsidRPr="0036354B">
        <w:rPr>
          <w:color w:val="000000"/>
          <w:sz w:val="24"/>
          <w:szCs w:val="24"/>
        </w:rPr>
        <w:t>and the corresponding coefficient</w:t>
      </w:r>
    </w:p>
    <w:p w:rsidR="00955C42" w:rsidRPr="0036354B" w:rsidRDefault="00955C42" w:rsidP="00955C42">
      <w:pPr>
        <w:tabs>
          <w:tab w:val="left" w:pos="8220"/>
        </w:tabs>
        <w:spacing w:after="0" w:line="240" w:lineRule="auto"/>
        <w:rPr>
          <w:sz w:val="24"/>
          <w:szCs w:val="24"/>
        </w:rPr>
      </w:pPr>
      <w:proofErr w:type="gramStart"/>
      <w:r w:rsidRPr="0036354B">
        <w:rPr>
          <w:i/>
          <w:iCs/>
          <w:color w:val="000000"/>
          <w:sz w:val="24"/>
          <w:szCs w:val="24"/>
        </w:rPr>
        <w:t>β</w:t>
      </w:r>
      <w:r w:rsidRPr="0036354B">
        <w:rPr>
          <w:color w:val="000000"/>
          <w:sz w:val="24"/>
          <w:szCs w:val="24"/>
        </w:rPr>
        <w:t>4</w:t>
      </w:r>
      <w:r w:rsidRPr="0036354B">
        <w:rPr>
          <w:i/>
          <w:iCs/>
          <w:color w:val="000000"/>
          <w:sz w:val="24"/>
          <w:szCs w:val="24"/>
        </w:rPr>
        <w:t>PROV</w:t>
      </w:r>
      <w:proofErr w:type="gramEnd"/>
      <w:r w:rsidRPr="0036354B">
        <w:rPr>
          <w:i/>
          <w:iCs/>
          <w:color w:val="000000"/>
          <w:sz w:val="24"/>
          <w:szCs w:val="24"/>
        </w:rPr>
        <w:t xml:space="preserve"> it </w:t>
      </w:r>
      <w:r w:rsidRPr="0036354B">
        <w:rPr>
          <w:color w:val="000000"/>
          <w:sz w:val="24"/>
          <w:szCs w:val="24"/>
        </w:rPr>
        <w:t xml:space="preserve">= loan loss provision to total asset ratio of bank </w:t>
      </w:r>
      <w:proofErr w:type="spellStart"/>
      <w:r w:rsidRPr="0036354B">
        <w:rPr>
          <w:i/>
          <w:iCs/>
          <w:color w:val="000000"/>
          <w:sz w:val="24"/>
          <w:szCs w:val="24"/>
        </w:rPr>
        <w:t>i</w:t>
      </w:r>
      <w:proofErr w:type="spellEnd"/>
      <w:r w:rsidRPr="0036354B">
        <w:rPr>
          <w:i/>
          <w:iCs/>
          <w:color w:val="000000"/>
          <w:sz w:val="24"/>
          <w:szCs w:val="24"/>
        </w:rPr>
        <w:t xml:space="preserve"> </w:t>
      </w:r>
      <w:r w:rsidRPr="0036354B">
        <w:rPr>
          <w:color w:val="000000"/>
          <w:sz w:val="24"/>
          <w:szCs w:val="24"/>
        </w:rPr>
        <w:t xml:space="preserve">at time </w:t>
      </w:r>
      <w:r w:rsidRPr="0036354B">
        <w:rPr>
          <w:i/>
          <w:iCs/>
          <w:color w:val="000000"/>
          <w:sz w:val="24"/>
          <w:szCs w:val="24"/>
        </w:rPr>
        <w:t xml:space="preserve">t </w:t>
      </w:r>
      <w:r w:rsidRPr="0036354B">
        <w:rPr>
          <w:color w:val="000000"/>
          <w:sz w:val="24"/>
          <w:szCs w:val="24"/>
        </w:rPr>
        <w:t xml:space="preserve">and the corresponding coefficient </w:t>
      </w:r>
    </w:p>
    <w:p w:rsidR="00955C42" w:rsidRPr="0036354B" w:rsidRDefault="00955C42" w:rsidP="00955C42">
      <w:pPr>
        <w:autoSpaceDE w:val="0"/>
        <w:autoSpaceDN w:val="0"/>
        <w:adjustRightInd w:val="0"/>
        <w:spacing w:after="0" w:line="240" w:lineRule="auto"/>
        <w:rPr>
          <w:color w:val="000000"/>
          <w:sz w:val="24"/>
          <w:szCs w:val="24"/>
        </w:rPr>
      </w:pPr>
      <w:proofErr w:type="gramStart"/>
      <w:r w:rsidRPr="0036354B">
        <w:rPr>
          <w:i/>
          <w:iCs/>
          <w:color w:val="000000"/>
          <w:sz w:val="24"/>
          <w:szCs w:val="24"/>
        </w:rPr>
        <w:t>β5</w:t>
      </w:r>
      <w:proofErr w:type="gramEnd"/>
      <w:r w:rsidRPr="0036354B">
        <w:rPr>
          <w:i/>
          <w:iCs/>
          <w:color w:val="000000"/>
          <w:sz w:val="24"/>
          <w:szCs w:val="24"/>
        </w:rPr>
        <w:t xml:space="preserve"> CAR it </w:t>
      </w:r>
      <w:r w:rsidRPr="0036354B">
        <w:rPr>
          <w:color w:val="000000"/>
          <w:sz w:val="24"/>
          <w:szCs w:val="24"/>
        </w:rPr>
        <w:t xml:space="preserve">=capital to asset ratio of bank </w:t>
      </w:r>
      <w:proofErr w:type="spellStart"/>
      <w:r w:rsidRPr="0036354B">
        <w:rPr>
          <w:i/>
          <w:iCs/>
          <w:color w:val="000000"/>
          <w:sz w:val="24"/>
          <w:szCs w:val="24"/>
        </w:rPr>
        <w:t>i</w:t>
      </w:r>
      <w:proofErr w:type="spellEnd"/>
      <w:r w:rsidRPr="0036354B">
        <w:rPr>
          <w:i/>
          <w:iCs/>
          <w:color w:val="000000"/>
          <w:sz w:val="24"/>
          <w:szCs w:val="24"/>
        </w:rPr>
        <w:t xml:space="preserve"> </w:t>
      </w:r>
      <w:r w:rsidRPr="0036354B">
        <w:rPr>
          <w:color w:val="000000"/>
          <w:sz w:val="24"/>
          <w:szCs w:val="24"/>
        </w:rPr>
        <w:t xml:space="preserve">at time </w:t>
      </w:r>
      <w:r w:rsidRPr="0036354B">
        <w:rPr>
          <w:i/>
          <w:iCs/>
          <w:color w:val="000000"/>
          <w:sz w:val="24"/>
          <w:szCs w:val="24"/>
        </w:rPr>
        <w:t xml:space="preserve">t </w:t>
      </w:r>
      <w:r w:rsidRPr="0036354B">
        <w:rPr>
          <w:color w:val="000000"/>
          <w:sz w:val="24"/>
          <w:szCs w:val="24"/>
        </w:rPr>
        <w:t xml:space="preserve">and the corresponding coefficient </w:t>
      </w:r>
    </w:p>
    <w:p w:rsidR="00955C42" w:rsidRPr="0036354B" w:rsidRDefault="00955C42" w:rsidP="00955C42">
      <w:pPr>
        <w:tabs>
          <w:tab w:val="left" w:pos="8220"/>
        </w:tabs>
        <w:spacing w:after="0" w:line="240" w:lineRule="auto"/>
        <w:rPr>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m:t>
            </m:r>
          </m:sub>
        </m:sSub>
      </m:oMath>
      <w:r w:rsidRPr="0036354B">
        <w:rPr>
          <w:rFonts w:eastAsiaTheme="minorEastAsia"/>
          <w:sz w:val="24"/>
          <w:szCs w:val="24"/>
        </w:rPr>
        <w:t xml:space="preserve"> = average total assets </w:t>
      </w:r>
      <w:r w:rsidRPr="0036354B">
        <w:rPr>
          <w:color w:val="000000"/>
          <w:sz w:val="24"/>
          <w:szCs w:val="24"/>
        </w:rPr>
        <w:t xml:space="preserve">of bank </w:t>
      </w:r>
      <w:proofErr w:type="spellStart"/>
      <w:r w:rsidRPr="0036354B">
        <w:rPr>
          <w:i/>
          <w:iCs/>
          <w:color w:val="000000"/>
          <w:sz w:val="24"/>
          <w:szCs w:val="24"/>
        </w:rPr>
        <w:t>i</w:t>
      </w:r>
      <w:proofErr w:type="spellEnd"/>
      <w:r w:rsidRPr="0036354B">
        <w:rPr>
          <w:i/>
          <w:iCs/>
          <w:color w:val="000000"/>
          <w:sz w:val="24"/>
          <w:szCs w:val="24"/>
        </w:rPr>
        <w:t xml:space="preserve"> </w:t>
      </w:r>
      <w:r w:rsidRPr="0036354B">
        <w:rPr>
          <w:color w:val="000000"/>
          <w:sz w:val="24"/>
          <w:szCs w:val="24"/>
        </w:rPr>
        <w:t xml:space="preserve">at time </w:t>
      </w:r>
      <w:r w:rsidRPr="0036354B">
        <w:rPr>
          <w:i/>
          <w:iCs/>
          <w:color w:val="000000"/>
          <w:sz w:val="24"/>
          <w:szCs w:val="24"/>
        </w:rPr>
        <w:t xml:space="preserve">t </w:t>
      </w:r>
      <w:r w:rsidRPr="0036354B">
        <w:rPr>
          <w:color w:val="000000"/>
          <w:sz w:val="24"/>
          <w:szCs w:val="24"/>
        </w:rPr>
        <w:t>and the corresponding coefficient (control variable)</w:t>
      </w:r>
    </w:p>
    <w:p w:rsidR="00955C42" w:rsidRDefault="00955C42" w:rsidP="00955C42">
      <w:pPr>
        <w:tabs>
          <w:tab w:val="left" w:pos="8220"/>
        </w:tabs>
        <w:spacing w:after="0" w:line="240" w:lineRule="auto"/>
        <w:rPr>
          <w:color w:val="000000"/>
          <w:sz w:val="24"/>
          <w:szCs w:val="24"/>
        </w:rPr>
      </w:pPr>
      <w:proofErr w:type="spellStart"/>
      <w:proofErr w:type="gramStart"/>
      <w:r w:rsidRPr="0036354B">
        <w:rPr>
          <w:color w:val="000000"/>
          <w:sz w:val="24"/>
          <w:szCs w:val="24"/>
        </w:rPr>
        <w:t>ε</w:t>
      </w:r>
      <w:r w:rsidRPr="0036354B">
        <w:rPr>
          <w:color w:val="000000"/>
          <w:sz w:val="24"/>
          <w:szCs w:val="24"/>
          <w:vertAlign w:val="subscript"/>
        </w:rPr>
        <w:t>it</w:t>
      </w:r>
      <w:proofErr w:type="spellEnd"/>
      <w:proofErr w:type="gramEnd"/>
      <w:r w:rsidRPr="0036354B">
        <w:rPr>
          <w:color w:val="000000"/>
          <w:sz w:val="24"/>
          <w:szCs w:val="24"/>
        </w:rPr>
        <w:t xml:space="preserve"> = random error term</w:t>
      </w:r>
    </w:p>
    <w:p w:rsidR="00955C42" w:rsidRPr="0036354B" w:rsidRDefault="00955C42" w:rsidP="00955C42">
      <w:pPr>
        <w:autoSpaceDE w:val="0"/>
        <w:autoSpaceDN w:val="0"/>
        <w:adjustRightInd w:val="0"/>
        <w:spacing w:after="0" w:line="240" w:lineRule="auto"/>
        <w:rPr>
          <w:color w:val="000000"/>
          <w:sz w:val="24"/>
          <w:szCs w:val="24"/>
        </w:rPr>
      </w:pPr>
    </w:p>
    <w:p w:rsidR="00955C42" w:rsidRPr="00BE7142" w:rsidRDefault="00955C42" w:rsidP="00955C42">
      <w:pPr>
        <w:tabs>
          <w:tab w:val="left" w:pos="8220"/>
        </w:tabs>
        <w:spacing w:after="0" w:line="240" w:lineRule="auto"/>
        <w:rPr>
          <w:b/>
          <w:i/>
          <w:sz w:val="24"/>
          <w:szCs w:val="24"/>
        </w:rPr>
      </w:pPr>
      <w:r w:rsidRPr="00BE7142">
        <w:rPr>
          <w:b/>
          <w:i/>
          <w:sz w:val="24"/>
          <w:szCs w:val="24"/>
        </w:rPr>
        <w:t>4.4.2 Descriptive Statistics</w:t>
      </w:r>
    </w:p>
    <w:p w:rsidR="00955C42" w:rsidRPr="0036354B" w:rsidRDefault="00955C42" w:rsidP="00955C42">
      <w:pPr>
        <w:spacing w:after="0" w:line="240" w:lineRule="auto"/>
        <w:rPr>
          <w:sz w:val="24"/>
          <w:szCs w:val="24"/>
        </w:rPr>
      </w:pPr>
      <w:r w:rsidRPr="0036354B">
        <w:rPr>
          <w:sz w:val="24"/>
          <w:szCs w:val="24"/>
        </w:rPr>
        <w:t xml:space="preserve">Descriptive statistics are used to describe the basic features of the data in the study sample. Accordingly, the descriptive statistics of the four risk management variables considered for the study could be illustrated </w:t>
      </w:r>
      <w:proofErr w:type="spellStart"/>
      <w:r w:rsidRPr="0036354B">
        <w:rPr>
          <w:sz w:val="24"/>
          <w:szCs w:val="24"/>
        </w:rPr>
        <w:t>inTable</w:t>
      </w:r>
      <w:proofErr w:type="spellEnd"/>
      <w:r w:rsidRPr="0036354B">
        <w:rPr>
          <w:sz w:val="24"/>
          <w:szCs w:val="24"/>
        </w:rPr>
        <w:t xml:space="preserve"> 4.1 below.</w:t>
      </w:r>
    </w:p>
    <w:p w:rsidR="00955C42" w:rsidRPr="00BE7142" w:rsidRDefault="00955C42" w:rsidP="00955C42">
      <w:pPr>
        <w:spacing w:after="0" w:line="240" w:lineRule="auto"/>
        <w:rPr>
          <w:b/>
          <w:sz w:val="24"/>
          <w:szCs w:val="24"/>
        </w:rPr>
      </w:pPr>
      <w:r w:rsidRPr="00BE7142">
        <w:rPr>
          <w:b/>
          <w:sz w:val="24"/>
          <w:szCs w:val="24"/>
        </w:rPr>
        <w:t>Table 4.1</w:t>
      </w:r>
    </w:p>
    <w:p w:rsidR="00955C42" w:rsidRPr="00BE7142" w:rsidRDefault="00955C42" w:rsidP="00955C42">
      <w:pPr>
        <w:spacing w:after="0" w:line="240" w:lineRule="auto"/>
        <w:rPr>
          <w:b/>
          <w:i/>
          <w:sz w:val="24"/>
          <w:szCs w:val="24"/>
        </w:rPr>
      </w:pPr>
      <w:r w:rsidRPr="00BE7142">
        <w:rPr>
          <w:b/>
          <w:i/>
          <w:sz w:val="24"/>
          <w:szCs w:val="24"/>
        </w:rPr>
        <w:t>Descriptive Statistics</w:t>
      </w:r>
    </w:p>
    <w:p w:rsidR="00955C42" w:rsidRPr="0036354B" w:rsidRDefault="00955C42" w:rsidP="00955C42">
      <w:pPr>
        <w:tabs>
          <w:tab w:val="left" w:pos="8220"/>
        </w:tabs>
        <w:spacing w:after="0" w:line="240" w:lineRule="auto"/>
        <w:contextualSpacing/>
        <w:rPr>
          <w:sz w:val="24"/>
          <w:szCs w:val="24"/>
        </w:rPr>
      </w:pPr>
    </w:p>
    <w:tbl>
      <w:tblPr>
        <w:tblStyle w:val="LightShading"/>
        <w:tblW w:w="9134" w:type="dxa"/>
        <w:tblLayout w:type="fixed"/>
        <w:tblLook w:val="04A0"/>
      </w:tblPr>
      <w:tblGrid>
        <w:gridCol w:w="1304"/>
        <w:gridCol w:w="1305"/>
        <w:gridCol w:w="1305"/>
        <w:gridCol w:w="1305"/>
        <w:gridCol w:w="1305"/>
        <w:gridCol w:w="1305"/>
        <w:gridCol w:w="1305"/>
      </w:tblGrid>
      <w:tr w:rsidR="00955C42" w:rsidTr="0043105F">
        <w:trPr>
          <w:cnfStyle w:val="100000000000"/>
          <w:trHeight w:val="542"/>
        </w:trPr>
        <w:tc>
          <w:tcPr>
            <w:cnfStyle w:val="001000000000"/>
            <w:tcW w:w="1304" w:type="dxa"/>
          </w:tcPr>
          <w:p w:rsidR="00955C42" w:rsidRPr="00042010" w:rsidRDefault="00955C42" w:rsidP="0043105F">
            <w:pPr>
              <w:tabs>
                <w:tab w:val="left" w:pos="8220"/>
              </w:tabs>
              <w:rPr>
                <w:szCs w:val="24"/>
              </w:rPr>
            </w:pPr>
            <w:r w:rsidRPr="00042010">
              <w:rPr>
                <w:szCs w:val="24"/>
              </w:rPr>
              <w:t>Variable</w:t>
            </w:r>
          </w:p>
        </w:tc>
        <w:tc>
          <w:tcPr>
            <w:tcW w:w="1305" w:type="dxa"/>
          </w:tcPr>
          <w:p w:rsidR="00955C42" w:rsidRPr="00042010" w:rsidRDefault="00955C42" w:rsidP="0043105F">
            <w:pPr>
              <w:tabs>
                <w:tab w:val="left" w:pos="8220"/>
              </w:tabs>
              <w:cnfStyle w:val="100000000000"/>
              <w:rPr>
                <w:szCs w:val="24"/>
              </w:rPr>
            </w:pPr>
            <w:r w:rsidRPr="00042010">
              <w:rPr>
                <w:szCs w:val="24"/>
              </w:rPr>
              <w:t>Mean</w:t>
            </w:r>
          </w:p>
        </w:tc>
        <w:tc>
          <w:tcPr>
            <w:tcW w:w="1305" w:type="dxa"/>
          </w:tcPr>
          <w:p w:rsidR="00955C42" w:rsidRPr="00042010" w:rsidRDefault="00955C42" w:rsidP="0043105F">
            <w:pPr>
              <w:tabs>
                <w:tab w:val="left" w:pos="8220"/>
              </w:tabs>
              <w:cnfStyle w:val="100000000000"/>
              <w:rPr>
                <w:szCs w:val="24"/>
              </w:rPr>
            </w:pPr>
            <w:r w:rsidRPr="00042010">
              <w:rPr>
                <w:szCs w:val="24"/>
              </w:rPr>
              <w:t>Std.dev</w:t>
            </w:r>
          </w:p>
        </w:tc>
        <w:tc>
          <w:tcPr>
            <w:tcW w:w="1305" w:type="dxa"/>
          </w:tcPr>
          <w:p w:rsidR="00955C42" w:rsidRPr="00042010" w:rsidRDefault="00955C42" w:rsidP="0043105F">
            <w:pPr>
              <w:tabs>
                <w:tab w:val="left" w:pos="8220"/>
              </w:tabs>
              <w:cnfStyle w:val="100000000000"/>
              <w:rPr>
                <w:szCs w:val="24"/>
              </w:rPr>
            </w:pPr>
            <w:r w:rsidRPr="00042010">
              <w:rPr>
                <w:szCs w:val="24"/>
              </w:rPr>
              <w:t>Max.</w:t>
            </w:r>
          </w:p>
        </w:tc>
        <w:tc>
          <w:tcPr>
            <w:tcW w:w="1305" w:type="dxa"/>
          </w:tcPr>
          <w:p w:rsidR="00955C42" w:rsidRPr="00042010" w:rsidRDefault="00955C42" w:rsidP="0043105F">
            <w:pPr>
              <w:tabs>
                <w:tab w:val="left" w:pos="8220"/>
              </w:tabs>
              <w:cnfStyle w:val="100000000000"/>
              <w:rPr>
                <w:szCs w:val="24"/>
              </w:rPr>
            </w:pPr>
            <w:r w:rsidRPr="00042010">
              <w:rPr>
                <w:szCs w:val="24"/>
              </w:rPr>
              <w:t>Min.</w:t>
            </w:r>
          </w:p>
        </w:tc>
        <w:tc>
          <w:tcPr>
            <w:tcW w:w="1305" w:type="dxa"/>
          </w:tcPr>
          <w:p w:rsidR="00955C42" w:rsidRPr="00042010" w:rsidRDefault="00955C42" w:rsidP="0043105F">
            <w:pPr>
              <w:cnfStyle w:val="100000000000"/>
              <w:rPr>
                <w:szCs w:val="24"/>
              </w:rPr>
            </w:pPr>
            <w:proofErr w:type="spellStart"/>
            <w:r w:rsidRPr="00042010">
              <w:rPr>
                <w:szCs w:val="24"/>
              </w:rPr>
              <w:t>Skewness</w:t>
            </w:r>
            <w:proofErr w:type="spellEnd"/>
          </w:p>
        </w:tc>
        <w:tc>
          <w:tcPr>
            <w:tcW w:w="1305" w:type="dxa"/>
          </w:tcPr>
          <w:p w:rsidR="00955C42" w:rsidRPr="00042010" w:rsidRDefault="00955C42" w:rsidP="0043105F">
            <w:pPr>
              <w:cnfStyle w:val="100000000000"/>
              <w:rPr>
                <w:szCs w:val="24"/>
              </w:rPr>
            </w:pPr>
            <w:r w:rsidRPr="00042010">
              <w:rPr>
                <w:szCs w:val="24"/>
              </w:rPr>
              <w:t xml:space="preserve"> Kurtosis</w:t>
            </w:r>
          </w:p>
        </w:tc>
      </w:tr>
      <w:tr w:rsidR="00955C42" w:rsidTr="0043105F">
        <w:trPr>
          <w:cnfStyle w:val="000000100000"/>
          <w:trHeight w:val="542"/>
        </w:trPr>
        <w:tc>
          <w:tcPr>
            <w:cnfStyle w:val="001000000000"/>
            <w:tcW w:w="1304" w:type="dxa"/>
            <w:shd w:val="clear" w:color="auto" w:fill="auto"/>
          </w:tcPr>
          <w:p w:rsidR="00955C42" w:rsidRPr="00042010" w:rsidRDefault="00955C42" w:rsidP="0043105F">
            <w:pPr>
              <w:tabs>
                <w:tab w:val="left" w:pos="8220"/>
              </w:tabs>
              <w:rPr>
                <w:szCs w:val="24"/>
              </w:rPr>
            </w:pPr>
            <m:oMathPara>
              <m:oMath>
                <w:bookmarkStart w:id="2" w:name="_Hlk14253976"/>
                <m:sSub>
                  <m:sSubPr>
                    <m:ctrlPr>
                      <w:rPr>
                        <w:rFonts w:ascii="Cambria Math" w:hAnsi="Cambria Math"/>
                        <w:b w:val="0"/>
                        <w:bCs w:val="0"/>
                        <w:color w:val="auto"/>
                        <w:szCs w:val="24"/>
                      </w:rPr>
                    </m:ctrlPr>
                  </m:sSubPr>
                  <m:e>
                    <m:r>
                      <m:rPr>
                        <m:sty m:val="b"/>
                      </m:rPr>
                      <w:rPr>
                        <w:rFonts w:ascii="Cambria Math" w:hAnsi="Cambria Math"/>
                        <w:szCs w:val="24"/>
                      </w:rPr>
                      <m:t>R</m:t>
                    </m:r>
                  </m:e>
                  <m:sub>
                    <m:r>
                      <m:rPr>
                        <m:sty m:val="b"/>
                      </m:rPr>
                      <w:rPr>
                        <w:rFonts w:ascii="Cambria Math" w:hAnsi="Cambria Math"/>
                        <w:szCs w:val="24"/>
                      </w:rPr>
                      <m:t>it</m:t>
                    </m:r>
                  </m:sub>
                </m:sSub>
              </m:oMath>
            </m:oMathPara>
            <w:bookmarkEnd w:id="2"/>
          </w:p>
        </w:tc>
        <w:tc>
          <w:tcPr>
            <w:tcW w:w="1305" w:type="dxa"/>
            <w:shd w:val="clear" w:color="auto" w:fill="auto"/>
          </w:tcPr>
          <w:p w:rsidR="00955C42" w:rsidRPr="00042010" w:rsidRDefault="00955C42" w:rsidP="0043105F">
            <w:pPr>
              <w:cnfStyle w:val="000000100000"/>
              <w:rPr>
                <w:szCs w:val="24"/>
              </w:rPr>
            </w:pPr>
            <w:r w:rsidRPr="00042010">
              <w:rPr>
                <w:color w:val="000000"/>
                <w:szCs w:val="24"/>
              </w:rPr>
              <w:t> 0.031446</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 0.438723</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 1.119890</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-1.15541</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 0.338026</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 3.733571</w:t>
            </w:r>
          </w:p>
        </w:tc>
      </w:tr>
      <w:tr w:rsidR="00955C42" w:rsidTr="0043105F">
        <w:trPr>
          <w:trHeight w:val="542"/>
        </w:trPr>
        <w:tc>
          <w:tcPr>
            <w:cnfStyle w:val="001000000000"/>
            <w:tcW w:w="1304" w:type="dxa"/>
          </w:tcPr>
          <w:p w:rsidR="00955C42" w:rsidRPr="00042010" w:rsidRDefault="00955C42" w:rsidP="0043105F">
            <w:pPr>
              <w:tabs>
                <w:tab w:val="left" w:pos="8220"/>
              </w:tabs>
              <w:rPr>
                <w:szCs w:val="24"/>
              </w:rPr>
            </w:pPr>
            <m:oMathPara>
              <m:oMath>
                <m:sSub>
                  <m:sSubPr>
                    <m:ctrlPr>
                      <w:rPr>
                        <w:rFonts w:ascii="Cambria Math" w:hAnsi="Cambria Math"/>
                        <w:b w:val="0"/>
                        <w:bCs w:val="0"/>
                        <w:color w:val="auto"/>
                        <w:szCs w:val="24"/>
                      </w:rPr>
                    </m:ctrlPr>
                  </m:sSubPr>
                  <m:e>
                    <m:r>
                      <m:rPr>
                        <m:sty m:val="b"/>
                      </m:rPr>
                      <w:rPr>
                        <w:rFonts w:ascii="Cambria Math" w:hAnsi="Cambria Math"/>
                        <w:szCs w:val="24"/>
                      </w:rPr>
                      <m:t>R</m:t>
                    </m:r>
                  </m:e>
                  <m:sub>
                    <m:r>
                      <m:rPr>
                        <m:sty m:val="b"/>
                      </m:rPr>
                      <w:rPr>
                        <w:rFonts w:ascii="Cambria Math" w:hAnsi="Cambria Math"/>
                        <w:szCs w:val="24"/>
                      </w:rPr>
                      <m:t>mt</m:t>
                    </m:r>
                  </m:sub>
                </m:sSub>
              </m:oMath>
            </m:oMathPara>
          </w:p>
        </w:tc>
        <w:tc>
          <w:tcPr>
            <w:tcW w:w="1305" w:type="dxa"/>
          </w:tcPr>
          <w:p w:rsidR="00955C42" w:rsidRPr="00042010" w:rsidRDefault="00955C42" w:rsidP="0043105F">
            <w:pPr>
              <w:tabs>
                <w:tab w:val="left" w:pos="8220"/>
              </w:tabs>
              <w:cnfStyle w:val="000000000000"/>
              <w:rPr>
                <w:szCs w:val="24"/>
              </w:rPr>
            </w:pPr>
            <w:r w:rsidRPr="00042010">
              <w:rPr>
                <w:color w:val="000000"/>
                <w:szCs w:val="24"/>
              </w:rPr>
              <w:t>-0.157021</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0.564700</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0.447427</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-1.451428</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-1.466244</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3.826779</w:t>
            </w:r>
          </w:p>
        </w:tc>
      </w:tr>
      <w:tr w:rsidR="00955C42" w:rsidTr="0043105F">
        <w:trPr>
          <w:cnfStyle w:val="000000100000"/>
          <w:trHeight w:val="542"/>
        </w:trPr>
        <w:tc>
          <w:tcPr>
            <w:cnfStyle w:val="001000000000"/>
            <w:tcW w:w="1304" w:type="dxa"/>
            <w:shd w:val="clear" w:color="auto" w:fill="auto"/>
          </w:tcPr>
          <w:p w:rsidR="00955C42" w:rsidRPr="00042010" w:rsidRDefault="00955C42" w:rsidP="0043105F">
            <w:pPr>
              <w:tabs>
                <w:tab w:val="left" w:pos="8220"/>
              </w:tabs>
              <w:rPr>
                <w:szCs w:val="24"/>
              </w:rPr>
            </w:pPr>
            <w:r w:rsidRPr="00042010">
              <w:rPr>
                <w:b w:val="0"/>
                <w:szCs w:val="24"/>
              </w:rPr>
              <w:t>NETIM</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0.044005</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0.010600</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0.084086</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0.005161</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-0.481505</w:t>
            </w:r>
          </w:p>
        </w:tc>
        <w:tc>
          <w:tcPr>
            <w:tcW w:w="1305" w:type="dxa"/>
            <w:shd w:val="clear" w:color="auto" w:fill="auto"/>
          </w:tcPr>
          <w:p w:rsidR="00955C42" w:rsidRPr="00042010" w:rsidRDefault="00955C42" w:rsidP="0043105F">
            <w:pPr>
              <w:tabs>
                <w:tab w:val="left" w:pos="8220"/>
              </w:tabs>
              <w:cnfStyle w:val="000000100000"/>
              <w:rPr>
                <w:szCs w:val="24"/>
              </w:rPr>
            </w:pPr>
            <w:r w:rsidRPr="00042010">
              <w:rPr>
                <w:color w:val="000000"/>
                <w:szCs w:val="24"/>
              </w:rPr>
              <w:t>6.771162</w:t>
            </w:r>
          </w:p>
        </w:tc>
      </w:tr>
      <w:tr w:rsidR="00955C42" w:rsidTr="0043105F">
        <w:trPr>
          <w:trHeight w:val="542"/>
        </w:trPr>
        <w:tc>
          <w:tcPr>
            <w:cnfStyle w:val="001000000000"/>
            <w:tcW w:w="1304" w:type="dxa"/>
          </w:tcPr>
          <w:p w:rsidR="00955C42" w:rsidRPr="00042010" w:rsidRDefault="00955C42" w:rsidP="0043105F">
            <w:pPr>
              <w:tabs>
                <w:tab w:val="left" w:pos="8220"/>
              </w:tabs>
              <w:rPr>
                <w:szCs w:val="24"/>
              </w:rPr>
            </w:pPr>
            <w:r w:rsidRPr="00042010">
              <w:rPr>
                <w:b w:val="0"/>
                <w:szCs w:val="24"/>
              </w:rPr>
              <w:t>NNIM</w:t>
            </w:r>
          </w:p>
        </w:tc>
        <w:tc>
          <w:tcPr>
            <w:tcW w:w="1305" w:type="dxa"/>
          </w:tcPr>
          <w:p w:rsidR="00955C42" w:rsidRPr="00042010" w:rsidRDefault="00955C42" w:rsidP="0043105F">
            <w:pPr>
              <w:autoSpaceDE w:val="0"/>
              <w:autoSpaceDN w:val="0"/>
              <w:adjustRightInd w:val="0"/>
              <w:cnfStyle w:val="000000000000"/>
              <w:rPr>
                <w:color w:val="000000"/>
                <w:szCs w:val="24"/>
              </w:rPr>
            </w:pPr>
            <w:r w:rsidRPr="00042010">
              <w:rPr>
                <w:color w:val="000000"/>
                <w:szCs w:val="24"/>
              </w:rPr>
              <w:t>0.019818</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0.013461</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0.137265</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0.000887</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6.492024</w:t>
            </w:r>
          </w:p>
        </w:tc>
        <w:tc>
          <w:tcPr>
            <w:tcW w:w="1305" w:type="dxa"/>
          </w:tcPr>
          <w:p w:rsidR="00955C42" w:rsidRPr="00042010" w:rsidRDefault="00955C42" w:rsidP="0043105F">
            <w:pPr>
              <w:tabs>
                <w:tab w:val="left" w:pos="8220"/>
              </w:tabs>
              <w:cnfStyle w:val="000000000000"/>
              <w:rPr>
                <w:szCs w:val="24"/>
              </w:rPr>
            </w:pPr>
            <w:r w:rsidRPr="00042010">
              <w:rPr>
                <w:color w:val="000000"/>
                <w:szCs w:val="24"/>
              </w:rPr>
              <w:t>57.22791</w:t>
            </w:r>
          </w:p>
        </w:tc>
      </w:tr>
      <w:tr w:rsidR="00955C42" w:rsidTr="0043105F">
        <w:trPr>
          <w:cnfStyle w:val="000000100000"/>
          <w:trHeight w:val="542"/>
        </w:trPr>
        <w:tc>
          <w:tcPr>
            <w:cnfStyle w:val="001000000000"/>
            <w:tcW w:w="1304" w:type="dxa"/>
            <w:shd w:val="clear" w:color="auto" w:fill="auto"/>
          </w:tcPr>
          <w:p w:rsidR="00955C42" w:rsidRPr="00042010" w:rsidRDefault="00955C42" w:rsidP="0043105F">
            <w:pPr>
              <w:tabs>
                <w:tab w:val="left" w:pos="8220"/>
              </w:tabs>
              <w:rPr>
                <w:szCs w:val="24"/>
              </w:rPr>
            </w:pPr>
            <w:r w:rsidRPr="00042010">
              <w:rPr>
                <w:b w:val="0"/>
                <w:szCs w:val="24"/>
              </w:rPr>
              <w:t>PROV</w:t>
            </w:r>
          </w:p>
        </w:tc>
        <w:tc>
          <w:tcPr>
            <w:tcW w:w="1305" w:type="dxa"/>
            <w:shd w:val="clear" w:color="auto" w:fill="auto"/>
          </w:tcPr>
          <w:p w:rsidR="00955C42" w:rsidRPr="00042010" w:rsidRDefault="00955C42" w:rsidP="0043105F">
            <w:pPr>
              <w:pStyle w:val="Default"/>
              <w:jc w:val="both"/>
              <w:cnfStyle w:val="000000100000"/>
              <w:rPr>
                <w:rFonts w:ascii="Calibri" w:hAnsi="Calibri"/>
                <w:sz w:val="22"/>
              </w:rPr>
            </w:pPr>
            <w:r w:rsidRPr="00042010">
              <w:rPr>
                <w:rFonts w:ascii="Calibri" w:hAnsi="Calibri"/>
                <w:sz w:val="22"/>
              </w:rPr>
              <w:t>0.004862</w:t>
            </w:r>
          </w:p>
        </w:tc>
        <w:tc>
          <w:tcPr>
            <w:tcW w:w="1305" w:type="dxa"/>
            <w:shd w:val="clear" w:color="auto" w:fill="auto"/>
          </w:tcPr>
          <w:p w:rsidR="00955C42" w:rsidRPr="00042010" w:rsidRDefault="00955C42" w:rsidP="0043105F">
            <w:pPr>
              <w:pStyle w:val="Default"/>
              <w:jc w:val="both"/>
              <w:cnfStyle w:val="000000100000"/>
              <w:rPr>
                <w:rFonts w:ascii="Calibri" w:hAnsi="Calibri"/>
                <w:sz w:val="22"/>
              </w:rPr>
            </w:pPr>
            <w:r w:rsidRPr="00042010">
              <w:rPr>
                <w:rFonts w:ascii="Calibri" w:hAnsi="Calibri"/>
                <w:sz w:val="22"/>
              </w:rPr>
              <w:t>0.004004</w:t>
            </w:r>
          </w:p>
        </w:tc>
        <w:tc>
          <w:tcPr>
            <w:tcW w:w="1305" w:type="dxa"/>
            <w:shd w:val="clear" w:color="auto" w:fill="auto"/>
          </w:tcPr>
          <w:p w:rsidR="00955C42" w:rsidRPr="00042010" w:rsidRDefault="00955C42" w:rsidP="0043105F">
            <w:pPr>
              <w:pStyle w:val="Default"/>
              <w:jc w:val="both"/>
              <w:cnfStyle w:val="000000100000"/>
              <w:rPr>
                <w:rFonts w:ascii="Calibri" w:hAnsi="Calibri"/>
                <w:sz w:val="22"/>
              </w:rPr>
            </w:pPr>
            <w:r w:rsidRPr="00042010">
              <w:rPr>
                <w:rFonts w:ascii="Calibri" w:hAnsi="Calibri"/>
                <w:sz w:val="22"/>
              </w:rPr>
              <w:t>0.015619</w:t>
            </w:r>
          </w:p>
        </w:tc>
        <w:tc>
          <w:tcPr>
            <w:tcW w:w="1305" w:type="dxa"/>
            <w:shd w:val="clear" w:color="auto" w:fill="auto"/>
          </w:tcPr>
          <w:p w:rsidR="00955C42" w:rsidRPr="00042010" w:rsidRDefault="00955C42" w:rsidP="0043105F">
            <w:pPr>
              <w:pStyle w:val="Default"/>
              <w:jc w:val="both"/>
              <w:cnfStyle w:val="000000100000"/>
              <w:rPr>
                <w:rFonts w:ascii="Calibri" w:hAnsi="Calibri"/>
                <w:sz w:val="22"/>
              </w:rPr>
            </w:pPr>
            <w:r w:rsidRPr="00042010">
              <w:rPr>
                <w:rFonts w:ascii="Calibri" w:hAnsi="Calibri"/>
                <w:sz w:val="22"/>
              </w:rPr>
              <w:t>-0.002688</w:t>
            </w:r>
          </w:p>
        </w:tc>
        <w:tc>
          <w:tcPr>
            <w:tcW w:w="1305" w:type="dxa"/>
            <w:shd w:val="clear" w:color="auto" w:fill="auto"/>
          </w:tcPr>
          <w:p w:rsidR="00955C42" w:rsidRPr="00042010" w:rsidRDefault="00955C42" w:rsidP="0043105F">
            <w:pPr>
              <w:pStyle w:val="Default"/>
              <w:jc w:val="both"/>
              <w:cnfStyle w:val="000000100000"/>
              <w:rPr>
                <w:rFonts w:ascii="Calibri" w:hAnsi="Calibri"/>
                <w:sz w:val="22"/>
              </w:rPr>
            </w:pPr>
            <w:r w:rsidRPr="00042010">
              <w:rPr>
                <w:rFonts w:ascii="Calibri" w:hAnsi="Calibri"/>
                <w:sz w:val="22"/>
              </w:rPr>
              <w:t>0.645666</w:t>
            </w:r>
          </w:p>
        </w:tc>
        <w:tc>
          <w:tcPr>
            <w:tcW w:w="1305" w:type="dxa"/>
            <w:shd w:val="clear" w:color="auto" w:fill="auto"/>
          </w:tcPr>
          <w:p w:rsidR="00955C42" w:rsidRPr="00042010" w:rsidRDefault="00955C42" w:rsidP="0043105F">
            <w:pPr>
              <w:pStyle w:val="Default"/>
              <w:jc w:val="both"/>
              <w:cnfStyle w:val="000000100000"/>
              <w:rPr>
                <w:rFonts w:ascii="Calibri" w:hAnsi="Calibri"/>
                <w:sz w:val="22"/>
              </w:rPr>
            </w:pPr>
            <w:r w:rsidRPr="00042010">
              <w:rPr>
                <w:rFonts w:ascii="Calibri" w:hAnsi="Calibri"/>
                <w:sz w:val="22"/>
              </w:rPr>
              <w:t>2.963519</w:t>
            </w:r>
          </w:p>
        </w:tc>
      </w:tr>
      <w:tr w:rsidR="00955C42" w:rsidTr="0043105F">
        <w:trPr>
          <w:trHeight w:val="542"/>
        </w:trPr>
        <w:tc>
          <w:tcPr>
            <w:cnfStyle w:val="001000000000"/>
            <w:tcW w:w="1304" w:type="dxa"/>
          </w:tcPr>
          <w:p w:rsidR="00955C42" w:rsidRPr="00042010" w:rsidRDefault="00955C42" w:rsidP="0043105F">
            <w:pPr>
              <w:tabs>
                <w:tab w:val="left" w:pos="8220"/>
              </w:tabs>
              <w:rPr>
                <w:szCs w:val="24"/>
              </w:rPr>
            </w:pPr>
            <w:r w:rsidRPr="00042010">
              <w:rPr>
                <w:b w:val="0"/>
                <w:szCs w:val="24"/>
              </w:rPr>
              <w:t>CAR</w:t>
            </w:r>
          </w:p>
        </w:tc>
        <w:tc>
          <w:tcPr>
            <w:tcW w:w="1305" w:type="dxa"/>
          </w:tcPr>
          <w:p w:rsidR="00955C42" w:rsidRPr="00042010" w:rsidRDefault="00955C42" w:rsidP="0043105F">
            <w:pPr>
              <w:tabs>
                <w:tab w:val="left" w:pos="8220"/>
              </w:tabs>
              <w:cnfStyle w:val="000000000000"/>
              <w:rPr>
                <w:color w:val="000000"/>
                <w:szCs w:val="24"/>
              </w:rPr>
            </w:pPr>
            <w:r w:rsidRPr="00042010">
              <w:rPr>
                <w:color w:val="000000"/>
                <w:szCs w:val="24"/>
              </w:rPr>
              <w:t>0.114555</w:t>
            </w:r>
          </w:p>
        </w:tc>
        <w:tc>
          <w:tcPr>
            <w:tcW w:w="1305" w:type="dxa"/>
          </w:tcPr>
          <w:p w:rsidR="00955C42" w:rsidRPr="00042010" w:rsidRDefault="00955C42" w:rsidP="0043105F">
            <w:pPr>
              <w:tabs>
                <w:tab w:val="left" w:pos="8220"/>
              </w:tabs>
              <w:cnfStyle w:val="000000000000"/>
              <w:rPr>
                <w:color w:val="000000"/>
                <w:szCs w:val="24"/>
              </w:rPr>
            </w:pPr>
            <w:r w:rsidRPr="00042010">
              <w:rPr>
                <w:color w:val="000000"/>
                <w:szCs w:val="24"/>
              </w:rPr>
              <w:t>0.100416</w:t>
            </w:r>
          </w:p>
        </w:tc>
        <w:tc>
          <w:tcPr>
            <w:tcW w:w="1305" w:type="dxa"/>
          </w:tcPr>
          <w:p w:rsidR="00955C42" w:rsidRPr="00042010" w:rsidRDefault="00955C42" w:rsidP="0043105F">
            <w:pPr>
              <w:tabs>
                <w:tab w:val="left" w:pos="8220"/>
              </w:tabs>
              <w:cnfStyle w:val="000000000000"/>
              <w:rPr>
                <w:color w:val="000000"/>
                <w:szCs w:val="24"/>
              </w:rPr>
            </w:pPr>
            <w:r w:rsidRPr="00042010">
              <w:rPr>
                <w:color w:val="000000"/>
                <w:szCs w:val="24"/>
              </w:rPr>
              <w:t>0.654116</w:t>
            </w:r>
          </w:p>
        </w:tc>
        <w:tc>
          <w:tcPr>
            <w:tcW w:w="1305" w:type="dxa"/>
          </w:tcPr>
          <w:p w:rsidR="00955C42" w:rsidRPr="00042010" w:rsidRDefault="00955C42" w:rsidP="0043105F">
            <w:pPr>
              <w:tabs>
                <w:tab w:val="left" w:pos="8220"/>
              </w:tabs>
              <w:cnfStyle w:val="000000000000"/>
              <w:rPr>
                <w:color w:val="000000"/>
                <w:szCs w:val="24"/>
              </w:rPr>
            </w:pPr>
            <w:r w:rsidRPr="00042010">
              <w:rPr>
                <w:color w:val="000000"/>
                <w:szCs w:val="24"/>
              </w:rPr>
              <w:t>0.045016</w:t>
            </w:r>
          </w:p>
        </w:tc>
        <w:tc>
          <w:tcPr>
            <w:tcW w:w="1305" w:type="dxa"/>
          </w:tcPr>
          <w:p w:rsidR="00955C42" w:rsidRPr="00042010" w:rsidRDefault="00955C42" w:rsidP="0043105F">
            <w:pPr>
              <w:tabs>
                <w:tab w:val="left" w:pos="8220"/>
              </w:tabs>
              <w:cnfStyle w:val="000000000000"/>
              <w:rPr>
                <w:color w:val="000000"/>
                <w:szCs w:val="24"/>
              </w:rPr>
            </w:pPr>
            <w:r w:rsidRPr="00042010">
              <w:rPr>
                <w:color w:val="000000"/>
                <w:szCs w:val="24"/>
              </w:rPr>
              <w:t>3.502420</w:t>
            </w:r>
          </w:p>
        </w:tc>
        <w:tc>
          <w:tcPr>
            <w:tcW w:w="1305" w:type="dxa"/>
          </w:tcPr>
          <w:p w:rsidR="00955C42" w:rsidRPr="00042010" w:rsidRDefault="00955C42" w:rsidP="0043105F">
            <w:pPr>
              <w:tabs>
                <w:tab w:val="left" w:pos="8220"/>
              </w:tabs>
              <w:cnfStyle w:val="000000000000"/>
              <w:rPr>
                <w:color w:val="000000"/>
                <w:szCs w:val="24"/>
              </w:rPr>
            </w:pPr>
            <w:r w:rsidRPr="00042010">
              <w:rPr>
                <w:color w:val="000000"/>
                <w:szCs w:val="24"/>
              </w:rPr>
              <w:t>15.91094</w:t>
            </w:r>
          </w:p>
        </w:tc>
      </w:tr>
      <w:tr w:rsidR="00955C42" w:rsidTr="0043105F">
        <w:trPr>
          <w:cnfStyle w:val="000000100000"/>
          <w:trHeight w:val="542"/>
        </w:trPr>
        <w:tc>
          <w:tcPr>
            <w:cnfStyle w:val="001000000000"/>
            <w:tcW w:w="1304" w:type="dxa"/>
            <w:shd w:val="clear" w:color="auto" w:fill="auto"/>
          </w:tcPr>
          <w:p w:rsidR="00955C42" w:rsidRPr="00042010" w:rsidRDefault="00955C42" w:rsidP="0043105F">
            <w:pPr>
              <w:tabs>
                <w:tab w:val="left" w:pos="8220"/>
              </w:tabs>
              <w:rPr>
                <w:szCs w:val="24"/>
              </w:rPr>
            </w:pPr>
            <w:r w:rsidRPr="00042010">
              <w:rPr>
                <w:b w:val="0"/>
                <w:szCs w:val="24"/>
              </w:rPr>
              <w:t>TA(log)</w:t>
            </w:r>
          </w:p>
        </w:tc>
        <w:tc>
          <w:tcPr>
            <w:tcW w:w="1305" w:type="dxa"/>
            <w:shd w:val="clear" w:color="auto" w:fill="auto"/>
          </w:tcPr>
          <w:p w:rsidR="00955C42" w:rsidRPr="00042010" w:rsidRDefault="00955C42" w:rsidP="0043105F">
            <w:pPr>
              <w:cnfStyle w:val="000000100000"/>
              <w:rPr>
                <w:szCs w:val="24"/>
              </w:rPr>
            </w:pPr>
            <w:r w:rsidRPr="00042010">
              <w:rPr>
                <w:szCs w:val="24"/>
              </w:rPr>
              <w:t>19.04623</w:t>
            </w:r>
          </w:p>
        </w:tc>
        <w:tc>
          <w:tcPr>
            <w:tcW w:w="1305" w:type="dxa"/>
            <w:shd w:val="clear" w:color="auto" w:fill="auto"/>
          </w:tcPr>
          <w:p w:rsidR="00955C42" w:rsidRPr="00042010" w:rsidRDefault="00955C42" w:rsidP="0043105F">
            <w:pPr>
              <w:cnfStyle w:val="000000100000"/>
              <w:rPr>
                <w:szCs w:val="24"/>
              </w:rPr>
            </w:pPr>
            <w:r w:rsidRPr="00042010">
              <w:rPr>
                <w:szCs w:val="24"/>
              </w:rPr>
              <w:t>1.039450</w:t>
            </w:r>
          </w:p>
        </w:tc>
        <w:tc>
          <w:tcPr>
            <w:tcW w:w="1305" w:type="dxa"/>
            <w:shd w:val="clear" w:color="auto" w:fill="auto"/>
          </w:tcPr>
          <w:p w:rsidR="00955C42" w:rsidRPr="00042010" w:rsidRDefault="00955C42" w:rsidP="0043105F">
            <w:pPr>
              <w:cnfStyle w:val="000000100000"/>
              <w:rPr>
                <w:szCs w:val="24"/>
              </w:rPr>
            </w:pPr>
            <w:r w:rsidRPr="00042010">
              <w:rPr>
                <w:szCs w:val="24"/>
              </w:rPr>
              <w:t>20.98831</w:t>
            </w:r>
          </w:p>
        </w:tc>
        <w:tc>
          <w:tcPr>
            <w:tcW w:w="1305" w:type="dxa"/>
            <w:shd w:val="clear" w:color="auto" w:fill="auto"/>
          </w:tcPr>
          <w:p w:rsidR="00955C42" w:rsidRPr="00042010" w:rsidRDefault="00955C42" w:rsidP="0043105F">
            <w:pPr>
              <w:cnfStyle w:val="000000100000"/>
              <w:rPr>
                <w:szCs w:val="24"/>
              </w:rPr>
            </w:pPr>
            <w:r w:rsidRPr="00042010">
              <w:rPr>
                <w:szCs w:val="24"/>
              </w:rPr>
              <w:t>16.04650</w:t>
            </w:r>
          </w:p>
        </w:tc>
        <w:tc>
          <w:tcPr>
            <w:tcW w:w="1305" w:type="dxa"/>
            <w:shd w:val="clear" w:color="auto" w:fill="auto"/>
          </w:tcPr>
          <w:p w:rsidR="00955C42" w:rsidRPr="00042010" w:rsidRDefault="00955C42" w:rsidP="0043105F">
            <w:pPr>
              <w:cnfStyle w:val="000000100000"/>
              <w:rPr>
                <w:szCs w:val="24"/>
              </w:rPr>
            </w:pPr>
            <w:r w:rsidRPr="00042010">
              <w:rPr>
                <w:szCs w:val="24"/>
              </w:rPr>
              <w:t>-0.458117</w:t>
            </w:r>
          </w:p>
        </w:tc>
        <w:tc>
          <w:tcPr>
            <w:tcW w:w="1305" w:type="dxa"/>
            <w:shd w:val="clear" w:color="auto" w:fill="auto"/>
          </w:tcPr>
          <w:p w:rsidR="00955C42" w:rsidRPr="00042010" w:rsidRDefault="00955C42" w:rsidP="0043105F">
            <w:pPr>
              <w:cnfStyle w:val="000000100000"/>
              <w:rPr>
                <w:szCs w:val="24"/>
              </w:rPr>
            </w:pPr>
            <w:r w:rsidRPr="00042010">
              <w:rPr>
                <w:szCs w:val="24"/>
              </w:rPr>
              <w:t>3.044469</w:t>
            </w:r>
          </w:p>
        </w:tc>
      </w:tr>
    </w:tbl>
    <w:p w:rsidR="00955C42" w:rsidRPr="00BE7142" w:rsidRDefault="00955C42" w:rsidP="00955C42">
      <w:pPr>
        <w:tabs>
          <w:tab w:val="left" w:pos="8220"/>
        </w:tabs>
        <w:spacing w:after="0" w:line="240" w:lineRule="auto"/>
        <w:rPr>
          <w:b/>
          <w:i/>
          <w:sz w:val="24"/>
          <w:szCs w:val="24"/>
        </w:rPr>
      </w:pPr>
      <w:proofErr w:type="spellStart"/>
      <w:r w:rsidRPr="00BE7142">
        <w:rPr>
          <w:b/>
          <w:i/>
          <w:sz w:val="24"/>
          <w:szCs w:val="24"/>
        </w:rPr>
        <w:lastRenderedPageBreak/>
        <w:t>Source</w:t>
      </w:r>
      <w:proofErr w:type="gramStart"/>
      <w:r w:rsidRPr="00BE7142">
        <w:rPr>
          <w:b/>
          <w:i/>
          <w:sz w:val="24"/>
          <w:szCs w:val="24"/>
        </w:rPr>
        <w:t>:Author</w:t>
      </w:r>
      <w:proofErr w:type="spellEnd"/>
      <w:proofErr w:type="gramEnd"/>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As per the descriptive statistics, the mean stock return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oMath>
      <w:r w:rsidRPr="0036354B">
        <w:rPr>
          <w:sz w:val="24"/>
          <w:szCs w:val="24"/>
        </w:rPr>
        <w:t>) of Sri Lankan listed banks is around 3.145 % which is significantly higher than</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mt</m:t>
            </m:r>
          </m:sub>
        </m:sSub>
      </m:oMath>
      <w:r w:rsidRPr="0036354B">
        <w:rPr>
          <w:sz w:val="24"/>
          <w:szCs w:val="24"/>
        </w:rPr>
        <w:t>(mean market return of banking finance and insurance sector return</w:t>
      </w:r>
      <w:proofErr w:type="gramStart"/>
      <w:r w:rsidRPr="0036354B">
        <w:rPr>
          <w:sz w:val="24"/>
          <w:szCs w:val="24"/>
        </w:rPr>
        <w:t>)of</w:t>
      </w:r>
      <w:proofErr w:type="gramEnd"/>
      <w:r w:rsidRPr="0036354B">
        <w:rPr>
          <w:sz w:val="24"/>
          <w:szCs w:val="24"/>
        </w:rPr>
        <w:t xml:space="preserve"> -15.7%. But the standard deviation of bank stock returns is43.87 % which is slightly lesser than the standard deviation of the market return of 56.5%. </w:t>
      </w:r>
    </w:p>
    <w:p w:rsidR="00955C42" w:rsidRDefault="00955C42" w:rsidP="00955C42">
      <w:pPr>
        <w:spacing w:after="0" w:line="240" w:lineRule="auto"/>
        <w:rPr>
          <w:sz w:val="24"/>
          <w:szCs w:val="24"/>
        </w:rPr>
      </w:pPr>
    </w:p>
    <w:p w:rsidR="00955C42" w:rsidRDefault="00955C42" w:rsidP="00955C42">
      <w:pPr>
        <w:spacing w:after="0" w:line="240" w:lineRule="auto"/>
        <w:rPr>
          <w:sz w:val="24"/>
          <w:szCs w:val="24"/>
        </w:rPr>
      </w:pPr>
      <w:r w:rsidRPr="0036354B">
        <w:rPr>
          <w:sz w:val="24"/>
          <w:szCs w:val="24"/>
        </w:rPr>
        <w:t>The mean value of capital adequacy ratio is (CAR</w:t>
      </w:r>
      <w:proofErr w:type="gramStart"/>
      <w:r w:rsidRPr="0036354B">
        <w:rPr>
          <w:sz w:val="24"/>
          <w:szCs w:val="24"/>
        </w:rPr>
        <w:t>)11.46</w:t>
      </w:r>
      <w:proofErr w:type="gramEnd"/>
      <w:r w:rsidRPr="0036354B">
        <w:rPr>
          <w:sz w:val="24"/>
          <w:szCs w:val="24"/>
        </w:rPr>
        <w:t xml:space="preserve">% in Sri Lankan listed banks. However, the mean value of NETIM is 4.4% which is higher than the mean value of 1.98% of NNIM and it indicates that Sri Lankan banks earning lesser income from non-interest income sources than interest income. The highest standard deviation is reported by TA and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oMath>
      <w:r w:rsidRPr="0036354B">
        <w:rPr>
          <w:sz w:val="24"/>
          <w:szCs w:val="24"/>
        </w:rPr>
        <w:t>and</w:t>
      </w:r>
      <m:oMath>
        <m:sSub>
          <m:sSubPr>
            <m:ctrlPr>
              <w:rPr>
                <w:rFonts w:ascii="Cambria Math" w:hAnsi="Cambria Math"/>
                <w:i/>
                <w:sz w:val="24"/>
                <w:szCs w:val="24"/>
              </w:rPr>
            </m:ctrlPr>
          </m:sSubPr>
          <m:e>
            <m:r>
              <w:rPr>
                <w:rFonts w:ascii="Cambria Math" w:hAnsi="Cambria Math"/>
                <w:sz w:val="24"/>
                <w:szCs w:val="24"/>
              </w:rPr>
              <m:t xml:space="preserve"> R</m:t>
            </m:r>
          </m:e>
          <m:sub>
            <m:r>
              <w:rPr>
                <w:rFonts w:ascii="Cambria Math" w:hAnsi="Cambria Math"/>
                <w:sz w:val="24"/>
                <w:szCs w:val="24"/>
              </w:rPr>
              <m:t>m</m:t>
            </m:r>
          </m:sub>
        </m:sSub>
      </m:oMath>
      <w:r w:rsidRPr="0036354B">
        <w:rPr>
          <w:sz w:val="24"/>
          <w:szCs w:val="24"/>
        </w:rPr>
        <w:t xml:space="preserve"> reported the second and third highest standard deviation respectively in the sample. The normal distribution of three variables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m:t>
            </m:r>
          </m:sub>
        </m:sSub>
      </m:oMath>
      <w:r w:rsidRPr="0036354B">
        <w:rPr>
          <w:sz w:val="24"/>
          <w:szCs w:val="24"/>
        </w:rPr>
        <w:t>, NETIM, and TA</w:t>
      </w:r>
      <w:proofErr w:type="gramStart"/>
      <w:r w:rsidRPr="0036354B">
        <w:rPr>
          <w:sz w:val="24"/>
          <w:szCs w:val="24"/>
        </w:rPr>
        <w:t>)shows</w:t>
      </w:r>
      <w:proofErr w:type="gramEnd"/>
      <w:r w:rsidRPr="0036354B">
        <w:rPr>
          <w:sz w:val="24"/>
          <w:szCs w:val="24"/>
        </w:rPr>
        <w:t xml:space="preserve"> negative </w:t>
      </w:r>
      <w:proofErr w:type="spellStart"/>
      <w:r w:rsidRPr="0036354B">
        <w:rPr>
          <w:sz w:val="24"/>
          <w:szCs w:val="24"/>
        </w:rPr>
        <w:t>Skewness</w:t>
      </w:r>
      <w:proofErr w:type="spellEnd"/>
      <w:r w:rsidRPr="0036354B">
        <w:rPr>
          <w:sz w:val="24"/>
          <w:szCs w:val="24"/>
        </w:rPr>
        <w:t xml:space="preserve"> which indicates that the tail of the left side of the distribution is longer.</w:t>
      </w:r>
    </w:p>
    <w:p w:rsidR="00955C42" w:rsidRPr="0036354B" w:rsidRDefault="00955C42" w:rsidP="00955C42">
      <w:pPr>
        <w:spacing w:after="0" w:line="240" w:lineRule="auto"/>
        <w:rPr>
          <w:sz w:val="24"/>
          <w:szCs w:val="24"/>
        </w:rPr>
      </w:pPr>
    </w:p>
    <w:p w:rsidR="00955C42" w:rsidRPr="00BE7142" w:rsidRDefault="00955C42" w:rsidP="00955C42">
      <w:pPr>
        <w:tabs>
          <w:tab w:val="left" w:pos="8220"/>
        </w:tabs>
        <w:spacing w:after="0" w:line="240" w:lineRule="auto"/>
        <w:rPr>
          <w:b/>
          <w:i/>
          <w:sz w:val="24"/>
          <w:szCs w:val="24"/>
        </w:rPr>
      </w:pPr>
      <w:r w:rsidRPr="00BE7142">
        <w:rPr>
          <w:b/>
          <w:i/>
          <w:sz w:val="24"/>
          <w:szCs w:val="24"/>
        </w:rPr>
        <w:t xml:space="preserve">4.4.3 Pearson correlation analysis  </w:t>
      </w:r>
    </w:p>
    <w:p w:rsidR="00955C42" w:rsidRPr="0036354B" w:rsidRDefault="00955C42" w:rsidP="00955C42">
      <w:pPr>
        <w:tabs>
          <w:tab w:val="left" w:pos="8220"/>
        </w:tabs>
        <w:spacing w:after="0" w:line="240" w:lineRule="auto"/>
        <w:rPr>
          <w:sz w:val="24"/>
          <w:szCs w:val="24"/>
        </w:rPr>
      </w:pPr>
      <w:r w:rsidRPr="0036354B">
        <w:rPr>
          <w:sz w:val="24"/>
          <w:szCs w:val="24"/>
        </w:rPr>
        <w:t>It measures the strength of a linear association between two variables separately. Following table 4.2 represents the correlation coefficient among the dependent variable and each independent variable in the study.</w:t>
      </w:r>
    </w:p>
    <w:p w:rsidR="00955C42" w:rsidRPr="0036354B" w:rsidRDefault="00955C42" w:rsidP="00955C42">
      <w:pPr>
        <w:tabs>
          <w:tab w:val="left" w:pos="8220"/>
        </w:tabs>
        <w:spacing w:after="0" w:line="240" w:lineRule="auto"/>
        <w:contextualSpacing/>
        <w:rPr>
          <w:sz w:val="24"/>
          <w:szCs w:val="24"/>
        </w:rPr>
      </w:pPr>
    </w:p>
    <w:p w:rsidR="00955C42" w:rsidRPr="00BE7142" w:rsidRDefault="00955C42" w:rsidP="00955C42">
      <w:pPr>
        <w:tabs>
          <w:tab w:val="left" w:pos="8220"/>
        </w:tabs>
        <w:spacing w:after="0" w:line="240" w:lineRule="auto"/>
        <w:contextualSpacing/>
        <w:rPr>
          <w:b/>
          <w:sz w:val="24"/>
          <w:szCs w:val="24"/>
        </w:rPr>
      </w:pPr>
    </w:p>
    <w:p w:rsidR="00955C42" w:rsidRPr="00BE7142" w:rsidRDefault="00955C42" w:rsidP="00955C42">
      <w:pPr>
        <w:tabs>
          <w:tab w:val="left" w:pos="8220"/>
        </w:tabs>
        <w:spacing w:after="0" w:line="240" w:lineRule="auto"/>
        <w:contextualSpacing/>
        <w:rPr>
          <w:b/>
          <w:sz w:val="24"/>
          <w:szCs w:val="24"/>
        </w:rPr>
      </w:pPr>
      <w:r w:rsidRPr="00BE7142">
        <w:rPr>
          <w:b/>
          <w:sz w:val="24"/>
          <w:szCs w:val="24"/>
        </w:rPr>
        <w:t>Table 4.2</w:t>
      </w:r>
    </w:p>
    <w:p w:rsidR="00955C42" w:rsidRPr="00BE7142" w:rsidRDefault="00955C42" w:rsidP="00955C42">
      <w:pPr>
        <w:tabs>
          <w:tab w:val="left" w:pos="8220"/>
        </w:tabs>
        <w:spacing w:after="0" w:line="240" w:lineRule="auto"/>
        <w:contextualSpacing/>
        <w:rPr>
          <w:b/>
          <w:i/>
          <w:sz w:val="24"/>
          <w:szCs w:val="24"/>
        </w:rPr>
      </w:pPr>
      <w:r w:rsidRPr="00BE7142">
        <w:rPr>
          <w:b/>
          <w:i/>
          <w:sz w:val="24"/>
          <w:szCs w:val="24"/>
        </w:rPr>
        <w:t xml:space="preserve">Pearson Correlation Analysis </w:t>
      </w:r>
    </w:p>
    <w:tbl>
      <w:tblPr>
        <w:tblStyle w:val="LightShading"/>
        <w:tblW w:w="7798" w:type="dxa"/>
        <w:shd w:val="clear" w:color="auto" w:fill="FFFFFF" w:themeFill="background1"/>
        <w:tblLayout w:type="fixed"/>
        <w:tblLook w:val="04A0"/>
      </w:tblPr>
      <w:tblGrid>
        <w:gridCol w:w="1024"/>
        <w:gridCol w:w="1154"/>
        <w:gridCol w:w="1080"/>
        <w:gridCol w:w="1170"/>
        <w:gridCol w:w="990"/>
        <w:gridCol w:w="1273"/>
        <w:gridCol w:w="1107"/>
      </w:tblGrid>
      <w:tr w:rsidR="00955C42" w:rsidTr="0043105F">
        <w:trPr>
          <w:cnfStyle w:val="100000000000"/>
          <w:trHeight w:val="748"/>
        </w:trPr>
        <w:tc>
          <w:tcPr>
            <w:cnfStyle w:val="001000000000"/>
            <w:tcW w:w="1024" w:type="dxa"/>
            <w:shd w:val="clear" w:color="auto" w:fill="FFFFFF" w:themeFill="background1"/>
          </w:tcPr>
          <w:p w:rsidR="00955C42" w:rsidRPr="00FF640F" w:rsidRDefault="00955C42" w:rsidP="0043105F">
            <w:pPr>
              <w:tabs>
                <w:tab w:val="left" w:pos="8220"/>
              </w:tabs>
              <w:rPr>
                <w:szCs w:val="24"/>
              </w:rPr>
            </w:pPr>
          </w:p>
        </w:tc>
        <w:tc>
          <w:tcPr>
            <w:tcW w:w="1154" w:type="dxa"/>
            <w:shd w:val="clear" w:color="auto" w:fill="FFFFFF" w:themeFill="background1"/>
          </w:tcPr>
          <w:p w:rsidR="00955C42" w:rsidRPr="00FF640F" w:rsidRDefault="00955C42" w:rsidP="0043105F">
            <w:pPr>
              <w:tabs>
                <w:tab w:val="left" w:pos="8220"/>
              </w:tabs>
              <w:cnfStyle w:val="100000000000"/>
              <w:rPr>
                <w:szCs w:val="24"/>
              </w:rPr>
            </w:pPr>
            <m:oMathPara>
              <m:oMath>
                <m:sSub>
                  <m:sSubPr>
                    <m:ctrlPr>
                      <w:rPr>
                        <w:rFonts w:ascii="Cambria Math" w:hAnsi="Cambria Math"/>
                        <w:b w:val="0"/>
                        <w:bCs w:val="0"/>
                        <w:i/>
                        <w:color w:val="auto"/>
                        <w:szCs w:val="24"/>
                      </w:rPr>
                    </m:ctrlPr>
                  </m:sSubPr>
                  <m:e>
                    <m:r>
                      <m:rPr>
                        <m:sty m:val="bi"/>
                      </m:rPr>
                      <w:rPr>
                        <w:rFonts w:ascii="Cambria Math" w:hAnsi="Cambria Math"/>
                        <w:szCs w:val="24"/>
                      </w:rPr>
                      <m:t>R</m:t>
                    </m:r>
                  </m:e>
                  <m:sub>
                    <m:r>
                      <m:rPr>
                        <m:sty m:val="bi"/>
                      </m:rPr>
                      <w:rPr>
                        <w:rFonts w:ascii="Cambria Math" w:hAnsi="Cambria Math"/>
                        <w:szCs w:val="24"/>
                      </w:rPr>
                      <m:t>mt</m:t>
                    </m:r>
                  </m:sub>
                </m:sSub>
              </m:oMath>
            </m:oMathPara>
          </w:p>
        </w:tc>
        <w:tc>
          <w:tcPr>
            <w:tcW w:w="1080" w:type="dxa"/>
            <w:shd w:val="clear" w:color="auto" w:fill="FFFFFF" w:themeFill="background1"/>
          </w:tcPr>
          <w:p w:rsidR="00955C42" w:rsidRPr="00FF640F" w:rsidRDefault="00955C42" w:rsidP="0043105F">
            <w:pPr>
              <w:tabs>
                <w:tab w:val="left" w:pos="8220"/>
              </w:tabs>
              <w:cnfStyle w:val="100000000000"/>
              <w:rPr>
                <w:szCs w:val="24"/>
              </w:rPr>
            </w:pPr>
            <w:r w:rsidRPr="00FF640F">
              <w:rPr>
                <w:szCs w:val="24"/>
              </w:rPr>
              <w:t>NETIM</w:t>
            </w:r>
          </w:p>
        </w:tc>
        <w:tc>
          <w:tcPr>
            <w:tcW w:w="1170" w:type="dxa"/>
            <w:shd w:val="clear" w:color="auto" w:fill="FFFFFF" w:themeFill="background1"/>
          </w:tcPr>
          <w:p w:rsidR="00955C42" w:rsidRPr="00FF640F" w:rsidRDefault="00955C42" w:rsidP="0043105F">
            <w:pPr>
              <w:tabs>
                <w:tab w:val="left" w:pos="8220"/>
              </w:tabs>
              <w:cnfStyle w:val="100000000000"/>
              <w:rPr>
                <w:szCs w:val="24"/>
              </w:rPr>
            </w:pPr>
            <w:r w:rsidRPr="00FF640F">
              <w:rPr>
                <w:szCs w:val="24"/>
              </w:rPr>
              <w:t>NNIM</w:t>
            </w:r>
          </w:p>
        </w:tc>
        <w:tc>
          <w:tcPr>
            <w:tcW w:w="990" w:type="dxa"/>
            <w:shd w:val="clear" w:color="auto" w:fill="FFFFFF" w:themeFill="background1"/>
          </w:tcPr>
          <w:p w:rsidR="00955C42" w:rsidRPr="00FF640F" w:rsidRDefault="00955C42" w:rsidP="0043105F">
            <w:pPr>
              <w:tabs>
                <w:tab w:val="left" w:pos="8220"/>
              </w:tabs>
              <w:cnfStyle w:val="100000000000"/>
              <w:rPr>
                <w:szCs w:val="24"/>
              </w:rPr>
            </w:pPr>
            <w:r w:rsidRPr="00FF640F">
              <w:rPr>
                <w:szCs w:val="24"/>
              </w:rPr>
              <w:t>PROV</w:t>
            </w:r>
          </w:p>
        </w:tc>
        <w:tc>
          <w:tcPr>
            <w:tcW w:w="1273" w:type="dxa"/>
            <w:shd w:val="clear" w:color="auto" w:fill="FFFFFF" w:themeFill="background1"/>
          </w:tcPr>
          <w:p w:rsidR="00955C42" w:rsidRPr="00FF640F" w:rsidRDefault="00955C42" w:rsidP="0043105F">
            <w:pPr>
              <w:cnfStyle w:val="100000000000"/>
              <w:rPr>
                <w:szCs w:val="24"/>
              </w:rPr>
            </w:pPr>
            <w:r w:rsidRPr="00FF640F">
              <w:rPr>
                <w:szCs w:val="24"/>
              </w:rPr>
              <w:t>CA</w:t>
            </w:r>
          </w:p>
        </w:tc>
        <w:tc>
          <w:tcPr>
            <w:tcW w:w="1107" w:type="dxa"/>
            <w:shd w:val="clear" w:color="auto" w:fill="FFFFFF" w:themeFill="background1"/>
          </w:tcPr>
          <w:p w:rsidR="00955C42" w:rsidRPr="00FF640F" w:rsidRDefault="00955C42" w:rsidP="0043105F">
            <w:pPr>
              <w:tabs>
                <w:tab w:val="left" w:pos="8220"/>
              </w:tabs>
              <w:cnfStyle w:val="100000000000"/>
              <w:rPr>
                <w:szCs w:val="24"/>
              </w:rPr>
            </w:pPr>
            <w:r w:rsidRPr="00FF640F">
              <w:rPr>
                <w:szCs w:val="24"/>
              </w:rPr>
              <w:t>TA</w:t>
            </w:r>
          </w:p>
        </w:tc>
      </w:tr>
      <w:tr w:rsidR="00955C42" w:rsidTr="0043105F">
        <w:trPr>
          <w:cnfStyle w:val="000000100000"/>
          <w:trHeight w:val="774"/>
        </w:trPr>
        <w:tc>
          <w:tcPr>
            <w:cnfStyle w:val="001000000000"/>
            <w:tcW w:w="1024" w:type="dxa"/>
            <w:shd w:val="clear" w:color="auto" w:fill="FFFFFF" w:themeFill="background1"/>
          </w:tcPr>
          <w:p w:rsidR="00955C42" w:rsidRPr="00FF640F" w:rsidRDefault="00955C42" w:rsidP="0043105F">
            <w:pPr>
              <w:tabs>
                <w:tab w:val="left" w:pos="8220"/>
              </w:tabs>
              <w:rPr>
                <w:szCs w:val="24"/>
              </w:rPr>
            </w:pPr>
            <m:oMathPara>
              <m:oMath>
                <m:sSub>
                  <m:sSubPr>
                    <m:ctrlPr>
                      <w:rPr>
                        <w:rFonts w:ascii="Cambria Math" w:hAnsi="Cambria Math"/>
                        <w:b w:val="0"/>
                        <w:bCs w:val="0"/>
                        <w:i/>
                        <w:color w:val="auto"/>
                        <w:szCs w:val="24"/>
                      </w:rPr>
                    </m:ctrlPr>
                  </m:sSubPr>
                  <m:e>
                    <m:r>
                      <m:rPr>
                        <m:sty m:val="bi"/>
                      </m:rPr>
                      <w:rPr>
                        <w:rFonts w:ascii="Cambria Math" w:hAnsi="Cambria Math"/>
                        <w:szCs w:val="24"/>
                      </w:rPr>
                      <m:t>R</m:t>
                    </m:r>
                  </m:e>
                  <m:sub>
                    <m:r>
                      <m:rPr>
                        <m:sty m:val="bi"/>
                      </m:rPr>
                      <w:rPr>
                        <w:rFonts w:ascii="Cambria Math" w:hAnsi="Cambria Math"/>
                        <w:szCs w:val="24"/>
                      </w:rPr>
                      <m:t>it</m:t>
                    </m:r>
                  </m:sub>
                </m:sSub>
              </m:oMath>
            </m:oMathPara>
          </w:p>
        </w:tc>
        <w:tc>
          <w:tcPr>
            <w:tcW w:w="1154" w:type="dxa"/>
            <w:shd w:val="clear" w:color="auto" w:fill="FFFFFF" w:themeFill="background1"/>
          </w:tcPr>
          <w:p w:rsidR="00955C42" w:rsidRPr="00FF640F" w:rsidRDefault="00955C42" w:rsidP="0043105F">
            <w:pPr>
              <w:tabs>
                <w:tab w:val="left" w:pos="8220"/>
              </w:tabs>
              <w:cnfStyle w:val="000000100000"/>
              <w:rPr>
                <w:szCs w:val="24"/>
              </w:rPr>
            </w:pPr>
            <w:r w:rsidRPr="00FF640F">
              <w:rPr>
                <w:color w:val="000000"/>
                <w:szCs w:val="24"/>
              </w:rPr>
              <w:t>-0.646865</w:t>
            </w:r>
          </w:p>
        </w:tc>
        <w:tc>
          <w:tcPr>
            <w:tcW w:w="1080" w:type="dxa"/>
            <w:shd w:val="clear" w:color="auto" w:fill="FFFFFF" w:themeFill="background1"/>
          </w:tcPr>
          <w:p w:rsidR="00955C42" w:rsidRPr="00FF640F" w:rsidRDefault="00955C42" w:rsidP="0043105F">
            <w:pPr>
              <w:tabs>
                <w:tab w:val="left" w:pos="8220"/>
              </w:tabs>
              <w:cnfStyle w:val="000000100000"/>
              <w:rPr>
                <w:szCs w:val="24"/>
              </w:rPr>
            </w:pPr>
            <w:r w:rsidRPr="00FF640F">
              <w:rPr>
                <w:color w:val="000000"/>
                <w:szCs w:val="24"/>
              </w:rPr>
              <w:t>0.266651</w:t>
            </w:r>
          </w:p>
        </w:tc>
        <w:tc>
          <w:tcPr>
            <w:tcW w:w="1170" w:type="dxa"/>
            <w:shd w:val="clear" w:color="auto" w:fill="FFFFFF" w:themeFill="background1"/>
          </w:tcPr>
          <w:p w:rsidR="00955C42" w:rsidRPr="00FF640F" w:rsidRDefault="00955C42" w:rsidP="0043105F">
            <w:pPr>
              <w:tabs>
                <w:tab w:val="left" w:pos="8220"/>
              </w:tabs>
              <w:cnfStyle w:val="000000100000"/>
              <w:rPr>
                <w:szCs w:val="24"/>
              </w:rPr>
            </w:pPr>
            <w:r w:rsidRPr="00FF640F">
              <w:rPr>
                <w:color w:val="000000"/>
                <w:szCs w:val="24"/>
              </w:rPr>
              <w:t>0.196664</w:t>
            </w:r>
          </w:p>
        </w:tc>
        <w:tc>
          <w:tcPr>
            <w:tcW w:w="990" w:type="dxa"/>
            <w:shd w:val="clear" w:color="auto" w:fill="FFFFFF" w:themeFill="background1"/>
          </w:tcPr>
          <w:p w:rsidR="00955C42" w:rsidRPr="00FF640F" w:rsidRDefault="00955C42" w:rsidP="0043105F">
            <w:pPr>
              <w:tabs>
                <w:tab w:val="left" w:pos="8220"/>
              </w:tabs>
              <w:cnfStyle w:val="000000100000"/>
              <w:rPr>
                <w:szCs w:val="24"/>
              </w:rPr>
            </w:pPr>
            <w:r w:rsidRPr="00FF640F">
              <w:rPr>
                <w:color w:val="000000"/>
                <w:szCs w:val="24"/>
              </w:rPr>
              <w:t>0.12984</w:t>
            </w:r>
          </w:p>
        </w:tc>
        <w:tc>
          <w:tcPr>
            <w:tcW w:w="1273" w:type="dxa"/>
            <w:shd w:val="clear" w:color="auto" w:fill="FFFFFF" w:themeFill="background1"/>
          </w:tcPr>
          <w:p w:rsidR="00955C42" w:rsidRPr="00FF640F" w:rsidRDefault="00955C42" w:rsidP="0043105F">
            <w:pPr>
              <w:cnfStyle w:val="000000100000"/>
              <w:rPr>
                <w:szCs w:val="24"/>
              </w:rPr>
            </w:pPr>
            <w:r w:rsidRPr="00FF640F">
              <w:rPr>
                <w:szCs w:val="24"/>
              </w:rPr>
              <w:t>0.013093</w:t>
            </w:r>
          </w:p>
        </w:tc>
        <w:tc>
          <w:tcPr>
            <w:tcW w:w="1107" w:type="dxa"/>
            <w:shd w:val="clear" w:color="auto" w:fill="FFFFFF" w:themeFill="background1"/>
          </w:tcPr>
          <w:p w:rsidR="00955C42" w:rsidRPr="00FF640F" w:rsidRDefault="00955C42" w:rsidP="0043105F">
            <w:pPr>
              <w:tabs>
                <w:tab w:val="left" w:pos="8220"/>
              </w:tabs>
              <w:cnfStyle w:val="000000100000"/>
              <w:rPr>
                <w:color w:val="000000"/>
                <w:szCs w:val="24"/>
              </w:rPr>
            </w:pPr>
            <w:r w:rsidRPr="00FF640F">
              <w:rPr>
                <w:color w:val="000000"/>
                <w:szCs w:val="24"/>
              </w:rPr>
              <w:t>-0.07518</w:t>
            </w:r>
          </w:p>
        </w:tc>
      </w:tr>
      <w:tr w:rsidR="00955C42" w:rsidTr="0043105F">
        <w:trPr>
          <w:trHeight w:val="774"/>
        </w:trPr>
        <w:tc>
          <w:tcPr>
            <w:cnfStyle w:val="001000000000"/>
            <w:tcW w:w="1024" w:type="dxa"/>
            <w:shd w:val="clear" w:color="auto" w:fill="FFFFFF" w:themeFill="background1"/>
          </w:tcPr>
          <w:p w:rsidR="00955C42" w:rsidRPr="00FF640F" w:rsidRDefault="00955C42" w:rsidP="0043105F">
            <w:pPr>
              <w:tabs>
                <w:tab w:val="left" w:pos="8220"/>
              </w:tabs>
              <w:rPr>
                <w:szCs w:val="24"/>
              </w:rPr>
            </w:pPr>
            <w:r w:rsidRPr="00FF640F">
              <w:rPr>
                <w:b w:val="0"/>
                <w:szCs w:val="24"/>
              </w:rPr>
              <w:t>Prob.</w:t>
            </w:r>
          </w:p>
        </w:tc>
        <w:tc>
          <w:tcPr>
            <w:tcW w:w="1154" w:type="dxa"/>
            <w:shd w:val="clear" w:color="auto" w:fill="FFFFFF" w:themeFill="background1"/>
          </w:tcPr>
          <w:p w:rsidR="00955C42" w:rsidRPr="00FF640F" w:rsidRDefault="00955C42" w:rsidP="0043105F">
            <w:pPr>
              <w:tabs>
                <w:tab w:val="left" w:pos="8220"/>
              </w:tabs>
              <w:cnfStyle w:val="000000000000"/>
              <w:rPr>
                <w:szCs w:val="24"/>
              </w:rPr>
            </w:pPr>
            <w:r w:rsidRPr="00FF640F">
              <w:rPr>
                <w:color w:val="000000"/>
                <w:szCs w:val="24"/>
              </w:rPr>
              <w:t>0.0000*</w:t>
            </w:r>
          </w:p>
        </w:tc>
        <w:tc>
          <w:tcPr>
            <w:tcW w:w="1080" w:type="dxa"/>
            <w:shd w:val="clear" w:color="auto" w:fill="FFFFFF" w:themeFill="background1"/>
          </w:tcPr>
          <w:p w:rsidR="00955C42" w:rsidRPr="00FF640F" w:rsidRDefault="00955C42" w:rsidP="0043105F">
            <w:pPr>
              <w:tabs>
                <w:tab w:val="left" w:pos="8220"/>
              </w:tabs>
              <w:cnfStyle w:val="000000000000"/>
              <w:rPr>
                <w:szCs w:val="24"/>
              </w:rPr>
            </w:pPr>
            <w:r w:rsidRPr="00FF640F">
              <w:rPr>
                <w:color w:val="000000"/>
                <w:szCs w:val="24"/>
              </w:rPr>
              <w:t>0.0062**</w:t>
            </w:r>
          </w:p>
        </w:tc>
        <w:tc>
          <w:tcPr>
            <w:tcW w:w="1170" w:type="dxa"/>
            <w:shd w:val="clear" w:color="auto" w:fill="FFFFFF" w:themeFill="background1"/>
          </w:tcPr>
          <w:p w:rsidR="00955C42" w:rsidRPr="00FF640F" w:rsidRDefault="00955C42" w:rsidP="0043105F">
            <w:pPr>
              <w:tabs>
                <w:tab w:val="left" w:pos="8220"/>
              </w:tabs>
              <w:cnfStyle w:val="000000000000"/>
              <w:rPr>
                <w:szCs w:val="24"/>
              </w:rPr>
            </w:pPr>
            <w:r w:rsidRPr="00FF640F">
              <w:rPr>
                <w:color w:val="000000"/>
                <w:szCs w:val="24"/>
              </w:rPr>
              <w:t>0.0454**</w:t>
            </w:r>
          </w:p>
        </w:tc>
        <w:tc>
          <w:tcPr>
            <w:tcW w:w="990" w:type="dxa"/>
            <w:shd w:val="clear" w:color="auto" w:fill="FFFFFF" w:themeFill="background1"/>
          </w:tcPr>
          <w:p w:rsidR="00955C42" w:rsidRPr="00FF640F" w:rsidRDefault="00955C42" w:rsidP="0043105F">
            <w:pPr>
              <w:tabs>
                <w:tab w:val="left" w:pos="8220"/>
              </w:tabs>
              <w:cnfStyle w:val="000000000000"/>
              <w:rPr>
                <w:szCs w:val="24"/>
              </w:rPr>
            </w:pPr>
            <w:r w:rsidRPr="00FF640F">
              <w:rPr>
                <w:color w:val="000000"/>
                <w:szCs w:val="24"/>
              </w:rPr>
              <w:t>0.1890</w:t>
            </w:r>
          </w:p>
        </w:tc>
        <w:tc>
          <w:tcPr>
            <w:tcW w:w="1273" w:type="dxa"/>
            <w:shd w:val="clear" w:color="auto" w:fill="FFFFFF" w:themeFill="background1"/>
          </w:tcPr>
          <w:p w:rsidR="00955C42" w:rsidRPr="00FF640F" w:rsidRDefault="00955C42" w:rsidP="0043105F">
            <w:pPr>
              <w:cnfStyle w:val="000000000000"/>
              <w:rPr>
                <w:szCs w:val="24"/>
              </w:rPr>
            </w:pPr>
            <w:r w:rsidRPr="00FF640F">
              <w:rPr>
                <w:szCs w:val="24"/>
              </w:rPr>
              <w:t>0.8950</w:t>
            </w:r>
          </w:p>
        </w:tc>
        <w:tc>
          <w:tcPr>
            <w:tcW w:w="1107" w:type="dxa"/>
            <w:shd w:val="clear" w:color="auto" w:fill="FFFFFF" w:themeFill="background1"/>
          </w:tcPr>
          <w:p w:rsidR="00955C42" w:rsidRPr="00FF640F" w:rsidRDefault="00955C42" w:rsidP="0043105F">
            <w:pPr>
              <w:tabs>
                <w:tab w:val="left" w:pos="8220"/>
              </w:tabs>
              <w:ind w:left="-391" w:firstLine="391"/>
              <w:cnfStyle w:val="000000000000"/>
              <w:rPr>
                <w:szCs w:val="24"/>
              </w:rPr>
            </w:pPr>
            <w:r w:rsidRPr="00FF640F">
              <w:rPr>
                <w:szCs w:val="24"/>
              </w:rPr>
              <w:t>0.4482</w:t>
            </w:r>
          </w:p>
        </w:tc>
      </w:tr>
    </w:tbl>
    <w:p w:rsidR="00955C42" w:rsidRPr="0036354B" w:rsidRDefault="00955C42" w:rsidP="00955C42">
      <w:pPr>
        <w:tabs>
          <w:tab w:val="left" w:pos="8220"/>
        </w:tabs>
        <w:spacing w:after="0" w:line="240" w:lineRule="auto"/>
        <w:rPr>
          <w:i/>
          <w:sz w:val="24"/>
          <w:szCs w:val="24"/>
        </w:rPr>
      </w:pPr>
      <w:r w:rsidRPr="0036354B">
        <w:rPr>
          <w:i/>
          <w:sz w:val="24"/>
          <w:szCs w:val="24"/>
        </w:rPr>
        <w:t>*p&lt;0.01</w:t>
      </w:r>
      <w:proofErr w:type="gramStart"/>
      <w:r w:rsidRPr="0036354B">
        <w:rPr>
          <w:i/>
          <w:sz w:val="24"/>
          <w:szCs w:val="24"/>
        </w:rPr>
        <w:t>,*</w:t>
      </w:r>
      <w:proofErr w:type="gramEnd"/>
      <w:r w:rsidRPr="0036354B">
        <w:rPr>
          <w:i/>
          <w:sz w:val="24"/>
          <w:szCs w:val="24"/>
        </w:rPr>
        <w:t>*p&lt;0.05</w:t>
      </w:r>
    </w:p>
    <w:p w:rsidR="00955C42" w:rsidRPr="00BE7142" w:rsidRDefault="00955C42" w:rsidP="00955C42">
      <w:pPr>
        <w:tabs>
          <w:tab w:val="left" w:pos="8220"/>
        </w:tabs>
        <w:spacing w:after="0" w:line="240" w:lineRule="auto"/>
        <w:rPr>
          <w:b/>
          <w:i/>
          <w:sz w:val="24"/>
          <w:szCs w:val="24"/>
        </w:rPr>
      </w:pPr>
      <w:r w:rsidRPr="00BE7142">
        <w:rPr>
          <w:b/>
          <w:i/>
          <w:sz w:val="24"/>
          <w:szCs w:val="24"/>
        </w:rPr>
        <w:t>Source: Author</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According to the Pearson correlation analysis, there is a strong negative (-0.646865) relationship between bank stock returns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oMath>
      <w:r w:rsidRPr="0036354B">
        <w:rPr>
          <w:sz w:val="24"/>
          <w:szCs w:val="24"/>
        </w:rPr>
        <w:t>) and the market return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mt</m:t>
            </m:r>
          </m:sub>
        </m:sSub>
      </m:oMath>
      <w:r w:rsidRPr="0036354B">
        <w:rPr>
          <w:sz w:val="24"/>
          <w:szCs w:val="24"/>
        </w:rPr>
        <w:t>) since the probability value is significant at a 99% confidence level. Indeed, market return movement is a significant predictor of bank stock returns, supporting Sharp (1965), Linter (1965), Black</w:t>
      </w:r>
      <w:r>
        <w:rPr>
          <w:sz w:val="24"/>
          <w:szCs w:val="24"/>
        </w:rPr>
        <w:t xml:space="preserve">, Jensen, and </w:t>
      </w:r>
      <w:proofErr w:type="spellStart"/>
      <w:proofErr w:type="gramStart"/>
      <w:r>
        <w:rPr>
          <w:sz w:val="24"/>
          <w:szCs w:val="24"/>
        </w:rPr>
        <w:t>Scholes</w:t>
      </w:r>
      <w:proofErr w:type="spellEnd"/>
      <w:r>
        <w:rPr>
          <w:sz w:val="24"/>
          <w:szCs w:val="24"/>
        </w:rPr>
        <w:t xml:space="preserve"> </w:t>
      </w:r>
      <w:r w:rsidRPr="0036354B">
        <w:rPr>
          <w:sz w:val="24"/>
          <w:szCs w:val="24"/>
        </w:rPr>
        <w:t xml:space="preserve"> (</w:t>
      </w:r>
      <w:proofErr w:type="gramEnd"/>
      <w:r w:rsidRPr="0036354B">
        <w:rPr>
          <w:sz w:val="24"/>
          <w:szCs w:val="24"/>
        </w:rPr>
        <w:t>1972)</w:t>
      </w:r>
      <w:r>
        <w:rPr>
          <w:sz w:val="24"/>
          <w:szCs w:val="24"/>
        </w:rPr>
        <w:t xml:space="preserve"> </w:t>
      </w:r>
      <w:r w:rsidRPr="0036354B">
        <w:rPr>
          <w:sz w:val="24"/>
          <w:szCs w:val="24"/>
        </w:rPr>
        <w:t xml:space="preserve">and </w:t>
      </w:r>
      <w:proofErr w:type="spellStart"/>
      <w:r w:rsidRPr="0036354B">
        <w:rPr>
          <w:sz w:val="24"/>
          <w:szCs w:val="24"/>
        </w:rPr>
        <w:t>Fama</w:t>
      </w:r>
      <w:proofErr w:type="spellEnd"/>
      <w:r>
        <w:rPr>
          <w:sz w:val="24"/>
          <w:szCs w:val="24"/>
        </w:rPr>
        <w:t xml:space="preserve"> and  Macbeth</w:t>
      </w:r>
      <w:r w:rsidRPr="0036354B">
        <w:rPr>
          <w:sz w:val="24"/>
          <w:szCs w:val="24"/>
        </w:rPr>
        <w:t xml:space="preserve"> (1973).</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Other than the coefficients </w:t>
      </w:r>
      <w:proofErr w:type="gramStart"/>
      <w:r w:rsidRPr="0036354B">
        <w:rPr>
          <w:sz w:val="24"/>
          <w:szCs w:val="24"/>
        </w:rPr>
        <w:t xml:space="preserve">of </w:t>
      </w:r>
      <m:oMath>
        <w:proofErr w:type="gramEnd"/>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mt</m:t>
            </m:r>
          </m:sub>
        </m:sSub>
        <m:r>
          <w:rPr>
            <w:rFonts w:ascii="Cambria Math" w:hAnsi="Cambria Math"/>
            <w:sz w:val="24"/>
            <w:szCs w:val="24"/>
          </w:rPr>
          <m:t xml:space="preserve"> and TA</m:t>
        </m:r>
      </m:oMath>
      <w:r w:rsidRPr="0036354B">
        <w:rPr>
          <w:sz w:val="24"/>
          <w:szCs w:val="24"/>
        </w:rPr>
        <w:t xml:space="preserve">, all other variables are positively associated with </w:t>
      </w:r>
      <m:oMath>
        <m:sSub>
          <m:sSubPr>
            <m:ctrlPr>
              <w:rPr>
                <w:rFonts w:ascii="Cambria Math" w:hAnsi="Cambria Math"/>
                <w:bCs/>
                <w:sz w:val="24"/>
                <w:szCs w:val="24"/>
              </w:rPr>
            </m:ctrlPr>
          </m:sSubPr>
          <m:e>
            <m:r>
              <m:rPr>
                <m:sty m:val="p"/>
              </m:rPr>
              <w:rPr>
                <w:rFonts w:ascii="Cambria Math" w:hAnsi="Cambria Math"/>
                <w:sz w:val="24"/>
                <w:szCs w:val="24"/>
              </w:rPr>
              <m:t>R</m:t>
            </m:r>
          </m:e>
          <m:sub>
            <m:r>
              <m:rPr>
                <m:sty m:val="p"/>
              </m:rPr>
              <w:rPr>
                <w:rFonts w:ascii="Cambria Math" w:hAnsi="Cambria Math"/>
                <w:sz w:val="24"/>
                <w:szCs w:val="24"/>
              </w:rPr>
              <m:t>it</m:t>
            </m:r>
          </m:sub>
        </m:sSub>
      </m:oMath>
      <w:r w:rsidRPr="0036354B">
        <w:rPr>
          <w:rFonts w:eastAsiaTheme="minorEastAsia"/>
          <w:bCs/>
          <w:sz w:val="24"/>
          <w:szCs w:val="24"/>
        </w:rPr>
        <w:t>in different degrees.</w:t>
      </w:r>
      <w:r w:rsidRPr="0036354B">
        <w:rPr>
          <w:sz w:val="24"/>
          <w:szCs w:val="24"/>
        </w:rPr>
        <w:t xml:space="preserve"> The positive coefficients of NETIM and NNIM are significant under 5% levels of significance. Indeed, increasing interest rate risk management capability and </w:t>
      </w:r>
      <w:r w:rsidRPr="0036354B">
        <w:rPr>
          <w:sz w:val="24"/>
          <w:szCs w:val="24"/>
        </w:rPr>
        <w:lastRenderedPageBreak/>
        <w:t>bank income diversification course to increase the bank stock returns. However, the other coefficients are not significant under any level of significance.</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According to the correlation analysis, the relationship between market return</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m:t>
            </m:r>
          </m:sub>
        </m:sSub>
        <m:r>
          <w:rPr>
            <w:rFonts w:ascii="Cambria Math" w:hAnsi="Cambria Math"/>
            <w:sz w:val="24"/>
            <w:szCs w:val="24"/>
          </w:rPr>
          <m:t xml:space="preserve">) </m:t>
        </m:r>
      </m:oMath>
      <w:r w:rsidRPr="0036354B">
        <w:rPr>
          <w:sz w:val="24"/>
          <w:szCs w:val="24"/>
        </w:rPr>
        <w:t>and bank stock returns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oMath>
      <w:r w:rsidRPr="0036354B">
        <w:rPr>
          <w:sz w:val="24"/>
          <w:szCs w:val="24"/>
        </w:rPr>
        <w:t>) has the strongest association of -64.79% compared to other variables.</w:t>
      </w:r>
    </w:p>
    <w:p w:rsidR="00955C42" w:rsidRPr="00BE7142" w:rsidRDefault="00955C42" w:rsidP="00955C42">
      <w:pPr>
        <w:tabs>
          <w:tab w:val="left" w:pos="8220"/>
        </w:tabs>
        <w:spacing w:after="0" w:line="240" w:lineRule="auto"/>
        <w:rPr>
          <w:b/>
          <w:i/>
          <w:sz w:val="24"/>
          <w:szCs w:val="24"/>
        </w:rPr>
      </w:pPr>
      <w:r w:rsidRPr="00BE7142">
        <w:rPr>
          <w:b/>
          <w:i/>
          <w:sz w:val="24"/>
          <w:szCs w:val="24"/>
        </w:rPr>
        <w:t>4.4.4 Panel regression analysis</w:t>
      </w:r>
    </w:p>
    <w:p w:rsidR="00955C42" w:rsidRDefault="00955C42" w:rsidP="00955C42">
      <w:pPr>
        <w:spacing w:after="0" w:line="240" w:lineRule="auto"/>
        <w:rPr>
          <w:sz w:val="24"/>
          <w:szCs w:val="24"/>
        </w:rPr>
      </w:pPr>
      <w:r w:rsidRPr="0036354B">
        <w:rPr>
          <w:sz w:val="24"/>
          <w:szCs w:val="24"/>
        </w:rPr>
        <w:t>The market model for the Sri Lankan listed banks is estimated using pooled regression model to assess the relationship between four risk management variables (including control variable i.e. firm size</w:t>
      </w:r>
      <w:proofErr w:type="gramStart"/>
      <w:r w:rsidRPr="0036354B">
        <w:rPr>
          <w:sz w:val="24"/>
          <w:szCs w:val="24"/>
        </w:rPr>
        <w:t>)on</w:t>
      </w:r>
      <w:proofErr w:type="gramEnd"/>
      <w:r w:rsidRPr="0036354B">
        <w:rPr>
          <w:sz w:val="24"/>
          <w:szCs w:val="24"/>
        </w:rPr>
        <w:t xml:space="preserve"> bank stock returns. Thus, Table 4.3 and Table 4.4 show the statistical findings of pooled regression models. Table 4.3 illustrates the findings of the pooled regression which is estimated without considering the impact of the control variable (firm size) and Table 4.4 illustrates the finding which considers the impact of the control variable (firm size).</w:t>
      </w:r>
    </w:p>
    <w:p w:rsidR="00955C42" w:rsidRPr="00BE7142" w:rsidRDefault="00955C42" w:rsidP="00955C42">
      <w:pPr>
        <w:tabs>
          <w:tab w:val="left" w:pos="8220"/>
        </w:tabs>
        <w:spacing w:after="0" w:line="240" w:lineRule="auto"/>
        <w:contextualSpacing/>
        <w:rPr>
          <w:b/>
          <w:sz w:val="24"/>
          <w:szCs w:val="24"/>
        </w:rPr>
      </w:pPr>
      <w:r w:rsidRPr="00BE7142">
        <w:rPr>
          <w:b/>
          <w:sz w:val="24"/>
          <w:szCs w:val="24"/>
        </w:rPr>
        <w:t>Table 4.3</w:t>
      </w:r>
    </w:p>
    <w:p w:rsidR="00955C42" w:rsidRPr="00BE7142" w:rsidRDefault="00955C42" w:rsidP="00955C42">
      <w:pPr>
        <w:tabs>
          <w:tab w:val="left" w:pos="8220"/>
        </w:tabs>
        <w:spacing w:after="0" w:line="240" w:lineRule="auto"/>
        <w:contextualSpacing/>
        <w:rPr>
          <w:b/>
          <w:i/>
          <w:iCs/>
          <w:sz w:val="24"/>
          <w:szCs w:val="24"/>
        </w:rPr>
      </w:pPr>
      <w:r w:rsidRPr="00BE7142">
        <w:rPr>
          <w:b/>
          <w:i/>
          <w:iCs/>
          <w:sz w:val="24"/>
          <w:szCs w:val="24"/>
        </w:rPr>
        <w:t>Regression 01</w:t>
      </w:r>
    </w:p>
    <w:p w:rsidR="00955C42" w:rsidRPr="00BE7142" w:rsidRDefault="00955C42" w:rsidP="00955C42">
      <w:pPr>
        <w:tabs>
          <w:tab w:val="left" w:pos="8220"/>
        </w:tabs>
        <w:spacing w:after="0" w:line="240" w:lineRule="auto"/>
        <w:contextualSpacing/>
        <w:rPr>
          <w:b/>
          <w:i/>
          <w:iCs/>
          <w:sz w:val="24"/>
          <w:szCs w:val="24"/>
        </w:rPr>
      </w:pPr>
      <w:r w:rsidRPr="00BE7142">
        <w:rPr>
          <w:b/>
          <w:i/>
          <w:iCs/>
          <w:sz w:val="24"/>
          <w:szCs w:val="24"/>
        </w:rPr>
        <w:t xml:space="preserve">Pooled </w:t>
      </w:r>
      <w:proofErr w:type="gramStart"/>
      <w:r w:rsidRPr="00BE7142">
        <w:rPr>
          <w:b/>
          <w:i/>
          <w:iCs/>
          <w:sz w:val="24"/>
          <w:szCs w:val="24"/>
        </w:rPr>
        <w:t>Regression(</w:t>
      </w:r>
      <w:proofErr w:type="gramEnd"/>
      <w:r w:rsidRPr="00BE7142">
        <w:rPr>
          <w:b/>
          <w:i/>
          <w:iCs/>
          <w:sz w:val="24"/>
          <w:szCs w:val="24"/>
        </w:rPr>
        <w:t>without considering the control variable)</w:t>
      </w:r>
    </w:p>
    <w:tbl>
      <w:tblPr>
        <w:tblStyle w:val="LightShading"/>
        <w:tblW w:w="8028" w:type="dxa"/>
        <w:tblLook w:val="04A0"/>
      </w:tblPr>
      <w:tblGrid>
        <w:gridCol w:w="2718"/>
        <w:gridCol w:w="1440"/>
        <w:gridCol w:w="1260"/>
        <w:gridCol w:w="1350"/>
        <w:gridCol w:w="1260"/>
      </w:tblGrid>
      <w:tr w:rsidR="00955C42" w:rsidTr="0043105F">
        <w:trPr>
          <w:cnfStyle w:val="100000000000"/>
          <w:trHeight w:val="609"/>
        </w:trPr>
        <w:tc>
          <w:tcPr>
            <w:cnfStyle w:val="001000000000"/>
            <w:tcW w:w="2718" w:type="dxa"/>
          </w:tcPr>
          <w:p w:rsidR="00955C42" w:rsidRPr="002D0E3D" w:rsidRDefault="00955C42" w:rsidP="0043105F">
            <w:pPr>
              <w:tabs>
                <w:tab w:val="left" w:pos="8220"/>
              </w:tabs>
              <w:contextualSpacing/>
              <w:rPr>
                <w:rFonts w:eastAsiaTheme="minorEastAsia"/>
                <w:szCs w:val="24"/>
              </w:rPr>
            </w:pPr>
            <w:r w:rsidRPr="002D0E3D">
              <w:rPr>
                <w:rFonts w:eastAsiaTheme="minorEastAsia"/>
                <w:szCs w:val="24"/>
              </w:rPr>
              <w:t>Variable</w:t>
            </w:r>
          </w:p>
        </w:tc>
        <w:tc>
          <w:tcPr>
            <w:tcW w:w="1440" w:type="dxa"/>
          </w:tcPr>
          <w:p w:rsidR="00955C42" w:rsidRPr="002D0E3D" w:rsidRDefault="00955C42" w:rsidP="0043105F">
            <w:pPr>
              <w:tabs>
                <w:tab w:val="left" w:pos="8220"/>
              </w:tabs>
              <w:contextualSpacing/>
              <w:cnfStyle w:val="100000000000"/>
              <w:rPr>
                <w:rFonts w:eastAsiaTheme="minorEastAsia"/>
                <w:szCs w:val="24"/>
              </w:rPr>
            </w:pPr>
            <w:r w:rsidRPr="002D0E3D">
              <w:rPr>
                <w:rFonts w:eastAsiaTheme="minorEastAsia"/>
                <w:szCs w:val="24"/>
              </w:rPr>
              <w:t>Coefficient</w:t>
            </w:r>
          </w:p>
        </w:tc>
        <w:tc>
          <w:tcPr>
            <w:tcW w:w="1260" w:type="dxa"/>
          </w:tcPr>
          <w:p w:rsidR="00955C42" w:rsidRPr="002D0E3D" w:rsidRDefault="00955C42" w:rsidP="0043105F">
            <w:pPr>
              <w:tabs>
                <w:tab w:val="left" w:pos="8220"/>
              </w:tabs>
              <w:contextualSpacing/>
              <w:cnfStyle w:val="100000000000"/>
              <w:rPr>
                <w:rFonts w:eastAsiaTheme="minorEastAsia"/>
                <w:szCs w:val="24"/>
              </w:rPr>
            </w:pPr>
            <w:proofErr w:type="spellStart"/>
            <w:r w:rsidRPr="002D0E3D">
              <w:rPr>
                <w:rFonts w:eastAsiaTheme="minorEastAsia"/>
                <w:szCs w:val="24"/>
              </w:rPr>
              <w:t>Std.Error</w:t>
            </w:r>
            <w:proofErr w:type="spellEnd"/>
          </w:p>
        </w:tc>
        <w:tc>
          <w:tcPr>
            <w:tcW w:w="1350" w:type="dxa"/>
          </w:tcPr>
          <w:p w:rsidR="00955C42" w:rsidRPr="002D0E3D" w:rsidRDefault="00955C42" w:rsidP="0043105F">
            <w:pPr>
              <w:tabs>
                <w:tab w:val="left" w:pos="8220"/>
              </w:tabs>
              <w:contextualSpacing/>
              <w:cnfStyle w:val="100000000000"/>
              <w:rPr>
                <w:rFonts w:eastAsiaTheme="minorEastAsia"/>
                <w:szCs w:val="24"/>
              </w:rPr>
            </w:pPr>
            <w:r w:rsidRPr="002D0E3D">
              <w:rPr>
                <w:rFonts w:eastAsiaTheme="minorEastAsia"/>
                <w:szCs w:val="24"/>
              </w:rPr>
              <w:t>t-statistic</w:t>
            </w:r>
          </w:p>
        </w:tc>
        <w:tc>
          <w:tcPr>
            <w:tcW w:w="1260" w:type="dxa"/>
          </w:tcPr>
          <w:p w:rsidR="00955C42" w:rsidRPr="002D0E3D" w:rsidRDefault="00955C42" w:rsidP="0043105F">
            <w:pPr>
              <w:tabs>
                <w:tab w:val="left" w:pos="8220"/>
              </w:tabs>
              <w:contextualSpacing/>
              <w:cnfStyle w:val="100000000000"/>
              <w:rPr>
                <w:rFonts w:eastAsiaTheme="minorEastAsia"/>
                <w:szCs w:val="24"/>
              </w:rPr>
            </w:pPr>
            <w:r w:rsidRPr="002D0E3D">
              <w:rPr>
                <w:rFonts w:eastAsiaTheme="minorEastAsia"/>
                <w:szCs w:val="24"/>
              </w:rPr>
              <w:t>Prob.</w:t>
            </w:r>
          </w:p>
        </w:tc>
      </w:tr>
      <w:tr w:rsidR="00955C42" w:rsidTr="0043105F">
        <w:trPr>
          <w:cnfStyle w:val="000000100000"/>
          <w:trHeight w:val="406"/>
        </w:trPr>
        <w:tc>
          <w:tcPr>
            <w:cnfStyle w:val="001000000000"/>
            <w:tcW w:w="2718" w:type="dxa"/>
            <w:shd w:val="clear" w:color="auto" w:fill="auto"/>
          </w:tcPr>
          <w:p w:rsidR="00955C42" w:rsidRPr="002D0E3D" w:rsidRDefault="00955C42" w:rsidP="0043105F">
            <w:pPr>
              <w:rPr>
                <w:szCs w:val="24"/>
              </w:rPr>
            </w:pPr>
            <w:r w:rsidRPr="002D0E3D">
              <w:rPr>
                <w:b w:val="0"/>
                <w:szCs w:val="24"/>
              </w:rPr>
              <w:t>C</w:t>
            </w:r>
          </w:p>
        </w:tc>
        <w:tc>
          <w:tcPr>
            <w:tcW w:w="1440" w:type="dxa"/>
            <w:shd w:val="clear" w:color="auto" w:fill="auto"/>
          </w:tcPr>
          <w:p w:rsidR="00955C42" w:rsidRPr="002D0E3D" w:rsidRDefault="00955C42" w:rsidP="0043105F">
            <w:pPr>
              <w:cnfStyle w:val="000000100000"/>
              <w:rPr>
                <w:szCs w:val="24"/>
              </w:rPr>
            </w:pPr>
            <w:r w:rsidRPr="002D0E3D">
              <w:rPr>
                <w:szCs w:val="24"/>
              </w:rPr>
              <w:t>-0.297164</w:t>
            </w:r>
          </w:p>
        </w:tc>
        <w:tc>
          <w:tcPr>
            <w:tcW w:w="1260" w:type="dxa"/>
            <w:shd w:val="clear" w:color="auto" w:fill="auto"/>
          </w:tcPr>
          <w:p w:rsidR="00955C42" w:rsidRPr="002D0E3D" w:rsidRDefault="00955C42" w:rsidP="0043105F">
            <w:pPr>
              <w:cnfStyle w:val="000000100000"/>
              <w:rPr>
                <w:szCs w:val="24"/>
              </w:rPr>
            </w:pPr>
            <w:r w:rsidRPr="002D0E3D">
              <w:rPr>
                <w:szCs w:val="24"/>
              </w:rPr>
              <w:t>0.142753</w:t>
            </w:r>
          </w:p>
        </w:tc>
        <w:tc>
          <w:tcPr>
            <w:tcW w:w="1350" w:type="dxa"/>
            <w:shd w:val="clear" w:color="auto" w:fill="auto"/>
          </w:tcPr>
          <w:p w:rsidR="00955C42" w:rsidRPr="002D0E3D" w:rsidRDefault="00955C42" w:rsidP="0043105F">
            <w:pPr>
              <w:cnfStyle w:val="000000100000"/>
              <w:rPr>
                <w:szCs w:val="24"/>
              </w:rPr>
            </w:pPr>
            <w:r w:rsidRPr="002D0E3D">
              <w:rPr>
                <w:szCs w:val="24"/>
              </w:rPr>
              <w:t>-2.081672</w:t>
            </w:r>
          </w:p>
        </w:tc>
        <w:tc>
          <w:tcPr>
            <w:tcW w:w="1260" w:type="dxa"/>
            <w:shd w:val="clear" w:color="auto" w:fill="auto"/>
          </w:tcPr>
          <w:p w:rsidR="00955C42" w:rsidRPr="002D0E3D" w:rsidRDefault="00955C42" w:rsidP="0043105F">
            <w:pPr>
              <w:cnfStyle w:val="000000100000"/>
              <w:rPr>
                <w:szCs w:val="24"/>
              </w:rPr>
            </w:pPr>
            <w:r w:rsidRPr="002D0E3D">
              <w:rPr>
                <w:szCs w:val="24"/>
              </w:rPr>
              <w:t>0.0400</w:t>
            </w:r>
          </w:p>
        </w:tc>
      </w:tr>
      <w:tr w:rsidR="00955C42" w:rsidTr="0043105F">
        <w:trPr>
          <w:trHeight w:val="406"/>
        </w:trPr>
        <w:tc>
          <w:tcPr>
            <w:cnfStyle w:val="001000000000"/>
            <w:tcW w:w="2718" w:type="dxa"/>
          </w:tcPr>
          <w:p w:rsidR="00955C42" w:rsidRPr="002D0E3D" w:rsidRDefault="00955C42" w:rsidP="0043105F">
            <w:pPr>
              <w:rPr>
                <w:szCs w:val="24"/>
              </w:rPr>
            </w:pPr>
            <m:oMathPara>
              <m:oMathParaPr>
                <m:jc m:val="left"/>
              </m:oMathParaPr>
              <m:oMath>
                <m:sSub>
                  <m:sSubPr>
                    <m:ctrlPr>
                      <w:rPr>
                        <w:rFonts w:ascii="Cambria Math" w:hAnsi="Cambria Math"/>
                        <w:b w:val="0"/>
                        <w:i/>
                        <w:szCs w:val="24"/>
                      </w:rPr>
                    </m:ctrlPr>
                  </m:sSubPr>
                  <m:e>
                    <m:r>
                      <m:rPr>
                        <m:sty m:val="bi"/>
                      </m:rPr>
                      <w:rPr>
                        <w:rFonts w:ascii="Cambria Math" w:hAnsi="Cambria Math"/>
                        <w:szCs w:val="24"/>
                      </w:rPr>
                      <m:t>R</m:t>
                    </m:r>
                  </m:e>
                  <m:sub>
                    <m:r>
                      <m:rPr>
                        <m:sty m:val="bi"/>
                      </m:rPr>
                      <w:rPr>
                        <w:rFonts w:ascii="Cambria Math" w:hAnsi="Cambria Math"/>
                        <w:szCs w:val="24"/>
                      </w:rPr>
                      <m:t>m</m:t>
                    </m:r>
                  </m:sub>
                </m:sSub>
              </m:oMath>
            </m:oMathPara>
          </w:p>
        </w:tc>
        <w:tc>
          <w:tcPr>
            <w:tcW w:w="1440" w:type="dxa"/>
          </w:tcPr>
          <w:p w:rsidR="00955C42" w:rsidRPr="002D0E3D" w:rsidRDefault="00955C42" w:rsidP="0043105F">
            <w:pPr>
              <w:cnfStyle w:val="000000000000"/>
              <w:rPr>
                <w:szCs w:val="24"/>
              </w:rPr>
            </w:pPr>
            <w:r w:rsidRPr="002D0E3D">
              <w:rPr>
                <w:szCs w:val="24"/>
              </w:rPr>
              <w:t>-0.483447</w:t>
            </w:r>
          </w:p>
        </w:tc>
        <w:tc>
          <w:tcPr>
            <w:tcW w:w="1260" w:type="dxa"/>
          </w:tcPr>
          <w:p w:rsidR="00955C42" w:rsidRPr="002D0E3D" w:rsidRDefault="00955C42" w:rsidP="0043105F">
            <w:pPr>
              <w:cnfStyle w:val="000000000000"/>
              <w:rPr>
                <w:szCs w:val="24"/>
              </w:rPr>
            </w:pPr>
            <w:r w:rsidRPr="002D0E3D">
              <w:rPr>
                <w:szCs w:val="24"/>
              </w:rPr>
              <w:t>0.05984</w:t>
            </w:r>
          </w:p>
        </w:tc>
        <w:tc>
          <w:tcPr>
            <w:tcW w:w="1350" w:type="dxa"/>
          </w:tcPr>
          <w:p w:rsidR="00955C42" w:rsidRPr="002D0E3D" w:rsidRDefault="00955C42" w:rsidP="0043105F">
            <w:pPr>
              <w:cnfStyle w:val="000000000000"/>
              <w:rPr>
                <w:szCs w:val="24"/>
              </w:rPr>
            </w:pPr>
            <w:r w:rsidRPr="002D0E3D">
              <w:rPr>
                <w:szCs w:val="24"/>
              </w:rPr>
              <w:t>-8.079035</w:t>
            </w:r>
          </w:p>
        </w:tc>
        <w:tc>
          <w:tcPr>
            <w:tcW w:w="1260" w:type="dxa"/>
          </w:tcPr>
          <w:p w:rsidR="00955C42" w:rsidRPr="002D0E3D" w:rsidRDefault="00955C42" w:rsidP="0043105F">
            <w:pPr>
              <w:cnfStyle w:val="000000000000"/>
              <w:rPr>
                <w:szCs w:val="24"/>
              </w:rPr>
            </w:pPr>
            <w:r w:rsidRPr="002D0E3D">
              <w:rPr>
                <w:szCs w:val="24"/>
              </w:rPr>
              <w:t>0.0000*</w:t>
            </w:r>
          </w:p>
        </w:tc>
      </w:tr>
      <w:tr w:rsidR="00955C42" w:rsidTr="0043105F">
        <w:trPr>
          <w:cnfStyle w:val="000000100000"/>
          <w:trHeight w:val="406"/>
        </w:trPr>
        <w:tc>
          <w:tcPr>
            <w:cnfStyle w:val="001000000000"/>
            <w:tcW w:w="2718" w:type="dxa"/>
            <w:shd w:val="clear" w:color="auto" w:fill="auto"/>
          </w:tcPr>
          <w:p w:rsidR="00955C42" w:rsidRPr="002D0E3D" w:rsidRDefault="00955C42" w:rsidP="0043105F">
            <w:pPr>
              <w:rPr>
                <w:szCs w:val="24"/>
              </w:rPr>
            </w:pPr>
            <w:r w:rsidRPr="002D0E3D">
              <w:rPr>
                <w:b w:val="0"/>
                <w:szCs w:val="24"/>
              </w:rPr>
              <w:t>NETIM</w:t>
            </w:r>
          </w:p>
        </w:tc>
        <w:tc>
          <w:tcPr>
            <w:tcW w:w="1440" w:type="dxa"/>
            <w:shd w:val="clear" w:color="auto" w:fill="auto"/>
          </w:tcPr>
          <w:p w:rsidR="00955C42" w:rsidRPr="002D0E3D" w:rsidRDefault="00955C42" w:rsidP="0043105F">
            <w:pPr>
              <w:cnfStyle w:val="000000100000"/>
              <w:rPr>
                <w:szCs w:val="24"/>
              </w:rPr>
            </w:pPr>
            <w:r w:rsidRPr="002D0E3D">
              <w:rPr>
                <w:szCs w:val="24"/>
              </w:rPr>
              <w:t>3.639588</w:t>
            </w:r>
          </w:p>
        </w:tc>
        <w:tc>
          <w:tcPr>
            <w:tcW w:w="1260" w:type="dxa"/>
            <w:shd w:val="clear" w:color="auto" w:fill="auto"/>
          </w:tcPr>
          <w:p w:rsidR="00955C42" w:rsidRPr="002D0E3D" w:rsidRDefault="00955C42" w:rsidP="0043105F">
            <w:pPr>
              <w:cnfStyle w:val="000000100000"/>
              <w:rPr>
                <w:szCs w:val="24"/>
              </w:rPr>
            </w:pPr>
            <w:r w:rsidRPr="002D0E3D">
              <w:rPr>
                <w:szCs w:val="24"/>
              </w:rPr>
              <w:t>3.376545</w:t>
            </w:r>
          </w:p>
        </w:tc>
        <w:tc>
          <w:tcPr>
            <w:tcW w:w="1350" w:type="dxa"/>
            <w:shd w:val="clear" w:color="auto" w:fill="auto"/>
          </w:tcPr>
          <w:p w:rsidR="00955C42" w:rsidRPr="002D0E3D" w:rsidRDefault="00955C42" w:rsidP="0043105F">
            <w:pPr>
              <w:cnfStyle w:val="000000100000"/>
              <w:rPr>
                <w:szCs w:val="24"/>
              </w:rPr>
            </w:pPr>
            <w:r w:rsidRPr="002D0E3D">
              <w:rPr>
                <w:szCs w:val="24"/>
              </w:rPr>
              <w:t>1.077903</w:t>
            </w:r>
          </w:p>
        </w:tc>
        <w:tc>
          <w:tcPr>
            <w:tcW w:w="1260" w:type="dxa"/>
            <w:shd w:val="clear" w:color="auto" w:fill="auto"/>
          </w:tcPr>
          <w:p w:rsidR="00955C42" w:rsidRPr="002D0E3D" w:rsidRDefault="00955C42" w:rsidP="0043105F">
            <w:pPr>
              <w:cnfStyle w:val="000000100000"/>
              <w:rPr>
                <w:szCs w:val="24"/>
              </w:rPr>
            </w:pPr>
            <w:r w:rsidRPr="002D0E3D">
              <w:rPr>
                <w:szCs w:val="24"/>
              </w:rPr>
              <w:t>0.2837</w:t>
            </w:r>
          </w:p>
        </w:tc>
      </w:tr>
      <w:tr w:rsidR="00955C42" w:rsidTr="0043105F">
        <w:trPr>
          <w:trHeight w:val="406"/>
        </w:trPr>
        <w:tc>
          <w:tcPr>
            <w:cnfStyle w:val="001000000000"/>
            <w:tcW w:w="2718" w:type="dxa"/>
          </w:tcPr>
          <w:p w:rsidR="00955C42" w:rsidRPr="002D0E3D" w:rsidRDefault="00955C42" w:rsidP="0043105F">
            <w:pPr>
              <w:rPr>
                <w:szCs w:val="24"/>
              </w:rPr>
            </w:pPr>
            <w:r w:rsidRPr="002D0E3D">
              <w:rPr>
                <w:b w:val="0"/>
                <w:szCs w:val="24"/>
              </w:rPr>
              <w:t>NNIM</w:t>
            </w:r>
          </w:p>
        </w:tc>
        <w:tc>
          <w:tcPr>
            <w:tcW w:w="1440" w:type="dxa"/>
          </w:tcPr>
          <w:p w:rsidR="00955C42" w:rsidRPr="002D0E3D" w:rsidRDefault="00955C42" w:rsidP="0043105F">
            <w:pPr>
              <w:cnfStyle w:val="000000000000"/>
              <w:rPr>
                <w:szCs w:val="24"/>
              </w:rPr>
            </w:pPr>
            <w:r w:rsidRPr="002D0E3D">
              <w:rPr>
                <w:szCs w:val="24"/>
              </w:rPr>
              <w:t>5.376853</w:t>
            </w:r>
          </w:p>
        </w:tc>
        <w:tc>
          <w:tcPr>
            <w:tcW w:w="1260" w:type="dxa"/>
          </w:tcPr>
          <w:p w:rsidR="00955C42" w:rsidRPr="002D0E3D" w:rsidRDefault="00955C42" w:rsidP="0043105F">
            <w:pPr>
              <w:cnfStyle w:val="000000000000"/>
              <w:rPr>
                <w:szCs w:val="24"/>
              </w:rPr>
            </w:pPr>
            <w:r w:rsidRPr="002D0E3D">
              <w:rPr>
                <w:szCs w:val="24"/>
              </w:rPr>
              <w:t>2.511129</w:t>
            </w:r>
          </w:p>
        </w:tc>
        <w:tc>
          <w:tcPr>
            <w:tcW w:w="1350" w:type="dxa"/>
          </w:tcPr>
          <w:p w:rsidR="00955C42" w:rsidRPr="002D0E3D" w:rsidRDefault="00955C42" w:rsidP="0043105F">
            <w:pPr>
              <w:cnfStyle w:val="000000000000"/>
              <w:rPr>
                <w:szCs w:val="24"/>
              </w:rPr>
            </w:pPr>
            <w:r w:rsidRPr="002D0E3D">
              <w:rPr>
                <w:szCs w:val="24"/>
              </w:rPr>
              <w:t>2.141209</w:t>
            </w:r>
          </w:p>
        </w:tc>
        <w:tc>
          <w:tcPr>
            <w:tcW w:w="1260" w:type="dxa"/>
          </w:tcPr>
          <w:p w:rsidR="00955C42" w:rsidRPr="002D0E3D" w:rsidRDefault="00955C42" w:rsidP="0043105F">
            <w:pPr>
              <w:cnfStyle w:val="000000000000"/>
              <w:rPr>
                <w:szCs w:val="24"/>
              </w:rPr>
            </w:pPr>
            <w:r w:rsidRPr="002D0E3D">
              <w:rPr>
                <w:szCs w:val="24"/>
              </w:rPr>
              <w:t>0.0347**</w:t>
            </w:r>
          </w:p>
        </w:tc>
      </w:tr>
      <w:tr w:rsidR="00955C42" w:rsidTr="0043105F">
        <w:trPr>
          <w:cnfStyle w:val="000000100000"/>
          <w:trHeight w:val="406"/>
        </w:trPr>
        <w:tc>
          <w:tcPr>
            <w:cnfStyle w:val="001000000000"/>
            <w:tcW w:w="2718" w:type="dxa"/>
            <w:shd w:val="clear" w:color="auto" w:fill="auto"/>
          </w:tcPr>
          <w:p w:rsidR="00955C42" w:rsidRPr="002D0E3D" w:rsidRDefault="00955C42" w:rsidP="0043105F">
            <w:pPr>
              <w:rPr>
                <w:szCs w:val="24"/>
              </w:rPr>
            </w:pPr>
            <w:r w:rsidRPr="002D0E3D">
              <w:rPr>
                <w:b w:val="0"/>
                <w:szCs w:val="24"/>
              </w:rPr>
              <w:t>PROV</w:t>
            </w:r>
          </w:p>
        </w:tc>
        <w:tc>
          <w:tcPr>
            <w:tcW w:w="1440" w:type="dxa"/>
            <w:shd w:val="clear" w:color="auto" w:fill="auto"/>
          </w:tcPr>
          <w:p w:rsidR="00955C42" w:rsidRPr="002D0E3D" w:rsidRDefault="00955C42" w:rsidP="0043105F">
            <w:pPr>
              <w:cnfStyle w:val="000000100000"/>
              <w:rPr>
                <w:szCs w:val="24"/>
              </w:rPr>
            </w:pPr>
            <w:r w:rsidRPr="002D0E3D">
              <w:rPr>
                <w:szCs w:val="24"/>
              </w:rPr>
              <w:t>0.164109</w:t>
            </w:r>
          </w:p>
        </w:tc>
        <w:tc>
          <w:tcPr>
            <w:tcW w:w="1260" w:type="dxa"/>
            <w:shd w:val="clear" w:color="auto" w:fill="auto"/>
          </w:tcPr>
          <w:p w:rsidR="00955C42" w:rsidRPr="002D0E3D" w:rsidRDefault="00955C42" w:rsidP="0043105F">
            <w:pPr>
              <w:cnfStyle w:val="000000100000"/>
              <w:rPr>
                <w:szCs w:val="24"/>
              </w:rPr>
            </w:pPr>
            <w:r w:rsidRPr="002D0E3D">
              <w:rPr>
                <w:szCs w:val="24"/>
              </w:rPr>
              <w:t>8.420996</w:t>
            </w:r>
          </w:p>
        </w:tc>
        <w:tc>
          <w:tcPr>
            <w:tcW w:w="1350" w:type="dxa"/>
            <w:shd w:val="clear" w:color="auto" w:fill="auto"/>
          </w:tcPr>
          <w:p w:rsidR="00955C42" w:rsidRPr="002D0E3D" w:rsidRDefault="00955C42" w:rsidP="0043105F">
            <w:pPr>
              <w:cnfStyle w:val="000000100000"/>
              <w:rPr>
                <w:szCs w:val="24"/>
              </w:rPr>
            </w:pPr>
            <w:r w:rsidRPr="002D0E3D">
              <w:rPr>
                <w:szCs w:val="24"/>
              </w:rPr>
              <w:t>0.019488</w:t>
            </w:r>
          </w:p>
        </w:tc>
        <w:tc>
          <w:tcPr>
            <w:tcW w:w="1260" w:type="dxa"/>
            <w:shd w:val="clear" w:color="auto" w:fill="auto"/>
          </w:tcPr>
          <w:p w:rsidR="00955C42" w:rsidRPr="002D0E3D" w:rsidRDefault="00955C42" w:rsidP="0043105F">
            <w:pPr>
              <w:cnfStyle w:val="000000100000"/>
              <w:rPr>
                <w:szCs w:val="24"/>
              </w:rPr>
            </w:pPr>
            <w:r w:rsidRPr="002D0E3D">
              <w:rPr>
                <w:szCs w:val="24"/>
              </w:rPr>
              <w:t>0.9845</w:t>
            </w:r>
          </w:p>
        </w:tc>
      </w:tr>
      <w:tr w:rsidR="00955C42" w:rsidTr="0043105F">
        <w:trPr>
          <w:trHeight w:val="406"/>
        </w:trPr>
        <w:tc>
          <w:tcPr>
            <w:cnfStyle w:val="001000000000"/>
            <w:tcW w:w="2718" w:type="dxa"/>
            <w:tcBorders>
              <w:bottom w:val="single" w:sz="4" w:space="0" w:color="auto"/>
            </w:tcBorders>
          </w:tcPr>
          <w:p w:rsidR="00955C42" w:rsidRPr="002D0E3D" w:rsidRDefault="00955C42" w:rsidP="0043105F">
            <w:pPr>
              <w:rPr>
                <w:szCs w:val="24"/>
              </w:rPr>
            </w:pPr>
            <w:r w:rsidRPr="002D0E3D">
              <w:rPr>
                <w:b w:val="0"/>
                <w:szCs w:val="24"/>
              </w:rPr>
              <w:t>CAR</w:t>
            </w:r>
          </w:p>
        </w:tc>
        <w:tc>
          <w:tcPr>
            <w:tcW w:w="1440" w:type="dxa"/>
            <w:tcBorders>
              <w:bottom w:val="single" w:sz="4" w:space="0" w:color="auto"/>
            </w:tcBorders>
          </w:tcPr>
          <w:p w:rsidR="00955C42" w:rsidRPr="002D0E3D" w:rsidRDefault="00955C42" w:rsidP="0043105F">
            <w:pPr>
              <w:cnfStyle w:val="000000000000"/>
              <w:rPr>
                <w:szCs w:val="24"/>
              </w:rPr>
            </w:pPr>
            <w:r w:rsidRPr="002D0E3D">
              <w:rPr>
                <w:szCs w:val="24"/>
              </w:rPr>
              <w:t>-0.129358</w:t>
            </w:r>
          </w:p>
        </w:tc>
        <w:tc>
          <w:tcPr>
            <w:tcW w:w="1260" w:type="dxa"/>
            <w:tcBorders>
              <w:bottom w:val="single" w:sz="4" w:space="0" w:color="auto"/>
            </w:tcBorders>
          </w:tcPr>
          <w:p w:rsidR="00955C42" w:rsidRPr="002D0E3D" w:rsidRDefault="00955C42" w:rsidP="0043105F">
            <w:pPr>
              <w:cnfStyle w:val="000000000000"/>
              <w:rPr>
                <w:szCs w:val="24"/>
              </w:rPr>
            </w:pPr>
            <w:r w:rsidRPr="002D0E3D">
              <w:rPr>
                <w:szCs w:val="24"/>
              </w:rPr>
              <w:t>0.334821</w:t>
            </w:r>
          </w:p>
        </w:tc>
        <w:tc>
          <w:tcPr>
            <w:tcW w:w="1350" w:type="dxa"/>
            <w:tcBorders>
              <w:bottom w:val="single" w:sz="4" w:space="0" w:color="auto"/>
            </w:tcBorders>
          </w:tcPr>
          <w:p w:rsidR="00955C42" w:rsidRPr="002D0E3D" w:rsidRDefault="00955C42" w:rsidP="0043105F">
            <w:pPr>
              <w:cnfStyle w:val="000000000000"/>
              <w:rPr>
                <w:szCs w:val="24"/>
              </w:rPr>
            </w:pPr>
            <w:r w:rsidRPr="002D0E3D">
              <w:rPr>
                <w:szCs w:val="24"/>
              </w:rPr>
              <w:t>-0.386349</w:t>
            </w:r>
          </w:p>
        </w:tc>
        <w:tc>
          <w:tcPr>
            <w:tcW w:w="1260" w:type="dxa"/>
            <w:tcBorders>
              <w:bottom w:val="single" w:sz="4" w:space="0" w:color="auto"/>
            </w:tcBorders>
          </w:tcPr>
          <w:p w:rsidR="00955C42" w:rsidRPr="002D0E3D" w:rsidRDefault="00955C42" w:rsidP="0043105F">
            <w:pPr>
              <w:cnfStyle w:val="000000000000"/>
              <w:rPr>
                <w:szCs w:val="24"/>
              </w:rPr>
            </w:pPr>
            <w:r w:rsidRPr="002D0E3D">
              <w:rPr>
                <w:szCs w:val="24"/>
              </w:rPr>
              <w:t>0.7001</w:t>
            </w:r>
          </w:p>
        </w:tc>
      </w:tr>
      <w:tr w:rsidR="00955C42" w:rsidTr="0043105F">
        <w:trPr>
          <w:cnfStyle w:val="000000100000"/>
          <w:trHeight w:val="406"/>
        </w:trPr>
        <w:tc>
          <w:tcPr>
            <w:cnfStyle w:val="001000000000"/>
            <w:tcW w:w="2718" w:type="dxa"/>
            <w:tcBorders>
              <w:top w:val="nil"/>
            </w:tcBorders>
            <w:shd w:val="clear" w:color="auto" w:fill="auto"/>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R-squared</w:t>
            </w:r>
          </w:p>
        </w:tc>
        <w:tc>
          <w:tcPr>
            <w:tcW w:w="1440" w:type="dxa"/>
            <w:tcBorders>
              <w:top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r w:rsidRPr="002D0E3D">
              <w:rPr>
                <w:color w:val="000000"/>
                <w:szCs w:val="24"/>
              </w:rPr>
              <w:t>0.458222</w:t>
            </w:r>
          </w:p>
        </w:tc>
        <w:tc>
          <w:tcPr>
            <w:tcW w:w="1260" w:type="dxa"/>
            <w:tcBorders>
              <w:top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350" w:type="dxa"/>
            <w:tcBorders>
              <w:top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260" w:type="dxa"/>
            <w:tcBorders>
              <w:top w:val="nil"/>
            </w:tcBorders>
            <w:shd w:val="clear" w:color="auto" w:fill="auto"/>
          </w:tcPr>
          <w:p w:rsidR="00955C42" w:rsidRPr="002D0E3D" w:rsidRDefault="00955C42" w:rsidP="0043105F">
            <w:pPr>
              <w:cnfStyle w:val="000000100000"/>
              <w:rPr>
                <w:szCs w:val="24"/>
              </w:rPr>
            </w:pPr>
          </w:p>
        </w:tc>
      </w:tr>
      <w:tr w:rsidR="00955C42" w:rsidTr="0043105F">
        <w:trPr>
          <w:trHeight w:val="406"/>
        </w:trPr>
        <w:tc>
          <w:tcPr>
            <w:cnfStyle w:val="001000000000"/>
            <w:tcW w:w="2718" w:type="dxa"/>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Adjusted R-squared</w:t>
            </w:r>
          </w:p>
        </w:tc>
        <w:tc>
          <w:tcPr>
            <w:tcW w:w="1440" w:type="dxa"/>
            <w:vAlign w:val="bottom"/>
          </w:tcPr>
          <w:p w:rsidR="00955C42" w:rsidRPr="002D0E3D" w:rsidRDefault="00955C42" w:rsidP="0043105F">
            <w:pPr>
              <w:autoSpaceDE w:val="0"/>
              <w:autoSpaceDN w:val="0"/>
              <w:adjustRightInd w:val="0"/>
              <w:ind w:right="10"/>
              <w:cnfStyle w:val="000000000000"/>
              <w:rPr>
                <w:color w:val="000000"/>
                <w:szCs w:val="24"/>
              </w:rPr>
            </w:pPr>
            <w:r w:rsidRPr="002D0E3D">
              <w:rPr>
                <w:color w:val="000000"/>
                <w:szCs w:val="24"/>
              </w:rPr>
              <w:t>0.43058</w:t>
            </w:r>
          </w:p>
        </w:tc>
        <w:tc>
          <w:tcPr>
            <w:tcW w:w="126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35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260" w:type="dxa"/>
          </w:tcPr>
          <w:p w:rsidR="00955C42" w:rsidRPr="002D0E3D" w:rsidRDefault="00955C42" w:rsidP="0043105F">
            <w:pPr>
              <w:cnfStyle w:val="000000000000"/>
              <w:rPr>
                <w:szCs w:val="24"/>
              </w:rPr>
            </w:pPr>
          </w:p>
        </w:tc>
      </w:tr>
      <w:tr w:rsidR="00955C42" w:rsidTr="0043105F">
        <w:trPr>
          <w:cnfStyle w:val="000000100000"/>
          <w:trHeight w:val="406"/>
        </w:trPr>
        <w:tc>
          <w:tcPr>
            <w:cnfStyle w:val="001000000000"/>
            <w:tcW w:w="2718" w:type="dxa"/>
            <w:shd w:val="clear" w:color="auto" w:fill="auto"/>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S.E. of regression</w:t>
            </w:r>
          </w:p>
        </w:tc>
        <w:tc>
          <w:tcPr>
            <w:tcW w:w="1440" w:type="dxa"/>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r w:rsidRPr="002D0E3D">
              <w:rPr>
                <w:color w:val="000000"/>
                <w:szCs w:val="24"/>
              </w:rPr>
              <w:t>0.33106</w:t>
            </w:r>
          </w:p>
        </w:tc>
        <w:tc>
          <w:tcPr>
            <w:tcW w:w="1260" w:type="dxa"/>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350" w:type="dxa"/>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260" w:type="dxa"/>
            <w:shd w:val="clear" w:color="auto" w:fill="auto"/>
          </w:tcPr>
          <w:p w:rsidR="00955C42" w:rsidRPr="002D0E3D" w:rsidRDefault="00955C42" w:rsidP="0043105F">
            <w:pPr>
              <w:cnfStyle w:val="000000100000"/>
              <w:rPr>
                <w:szCs w:val="24"/>
              </w:rPr>
            </w:pPr>
          </w:p>
        </w:tc>
      </w:tr>
      <w:tr w:rsidR="00955C42" w:rsidTr="0043105F">
        <w:trPr>
          <w:trHeight w:val="406"/>
        </w:trPr>
        <w:tc>
          <w:tcPr>
            <w:cnfStyle w:val="001000000000"/>
            <w:tcW w:w="2718" w:type="dxa"/>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F-statistic</w:t>
            </w:r>
          </w:p>
        </w:tc>
        <w:tc>
          <w:tcPr>
            <w:tcW w:w="1440" w:type="dxa"/>
          </w:tcPr>
          <w:p w:rsidR="00955C42" w:rsidRPr="002D0E3D" w:rsidRDefault="00955C42" w:rsidP="0043105F">
            <w:pPr>
              <w:cnfStyle w:val="000000000000"/>
              <w:rPr>
                <w:rStyle w:val="SubtleEmphasis"/>
                <w:szCs w:val="24"/>
              </w:rPr>
            </w:pPr>
            <w:r w:rsidRPr="002D0E3D">
              <w:rPr>
                <w:szCs w:val="24"/>
              </w:rPr>
              <w:t>16.57718</w:t>
            </w:r>
          </w:p>
        </w:tc>
        <w:tc>
          <w:tcPr>
            <w:tcW w:w="126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35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260" w:type="dxa"/>
          </w:tcPr>
          <w:p w:rsidR="00955C42" w:rsidRPr="002D0E3D" w:rsidRDefault="00955C42" w:rsidP="0043105F">
            <w:pPr>
              <w:cnfStyle w:val="000000000000"/>
              <w:rPr>
                <w:szCs w:val="24"/>
              </w:rPr>
            </w:pPr>
          </w:p>
        </w:tc>
      </w:tr>
      <w:tr w:rsidR="00955C42" w:rsidTr="0043105F">
        <w:trPr>
          <w:cnfStyle w:val="000000100000"/>
          <w:trHeight w:val="406"/>
        </w:trPr>
        <w:tc>
          <w:tcPr>
            <w:cnfStyle w:val="001000000000"/>
            <w:tcW w:w="2718" w:type="dxa"/>
            <w:shd w:val="clear" w:color="auto" w:fill="auto"/>
            <w:vAlign w:val="bottom"/>
          </w:tcPr>
          <w:p w:rsidR="00955C42" w:rsidRPr="002D0E3D" w:rsidRDefault="00955C42" w:rsidP="0043105F">
            <w:pPr>
              <w:autoSpaceDE w:val="0"/>
              <w:autoSpaceDN w:val="0"/>
              <w:adjustRightInd w:val="0"/>
              <w:rPr>
                <w:color w:val="000000"/>
                <w:szCs w:val="24"/>
              </w:rPr>
            </w:pPr>
            <w:proofErr w:type="spellStart"/>
            <w:r w:rsidRPr="002D0E3D">
              <w:rPr>
                <w:b w:val="0"/>
                <w:color w:val="000000"/>
                <w:szCs w:val="24"/>
              </w:rPr>
              <w:t>Prob</w:t>
            </w:r>
            <w:proofErr w:type="spellEnd"/>
            <w:r w:rsidRPr="002D0E3D">
              <w:rPr>
                <w:b w:val="0"/>
                <w:color w:val="000000"/>
                <w:szCs w:val="24"/>
              </w:rPr>
              <w:t>(F-statistic)</w:t>
            </w:r>
          </w:p>
        </w:tc>
        <w:tc>
          <w:tcPr>
            <w:tcW w:w="1440" w:type="dxa"/>
            <w:shd w:val="clear" w:color="auto" w:fill="auto"/>
          </w:tcPr>
          <w:p w:rsidR="00955C42" w:rsidRPr="002D0E3D" w:rsidRDefault="00955C42" w:rsidP="0043105F">
            <w:pPr>
              <w:cnfStyle w:val="000000100000"/>
              <w:rPr>
                <w:szCs w:val="24"/>
              </w:rPr>
            </w:pPr>
            <w:r w:rsidRPr="002D0E3D">
              <w:rPr>
                <w:szCs w:val="24"/>
              </w:rPr>
              <w:t>0.0000*</w:t>
            </w:r>
          </w:p>
        </w:tc>
        <w:tc>
          <w:tcPr>
            <w:tcW w:w="1260" w:type="dxa"/>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350" w:type="dxa"/>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260" w:type="dxa"/>
            <w:shd w:val="clear" w:color="auto" w:fill="auto"/>
          </w:tcPr>
          <w:p w:rsidR="00955C42" w:rsidRPr="002D0E3D" w:rsidRDefault="00955C42" w:rsidP="0043105F">
            <w:pPr>
              <w:cnfStyle w:val="000000100000"/>
              <w:rPr>
                <w:szCs w:val="24"/>
              </w:rPr>
            </w:pPr>
          </w:p>
        </w:tc>
      </w:tr>
      <w:tr w:rsidR="00955C42" w:rsidTr="0043105F">
        <w:trPr>
          <w:trHeight w:val="406"/>
        </w:trPr>
        <w:tc>
          <w:tcPr>
            <w:cnfStyle w:val="001000000000"/>
            <w:tcW w:w="2718" w:type="dxa"/>
            <w:tcBorders>
              <w:bottom w:val="nil"/>
            </w:tcBorders>
            <w:vAlign w:val="bottom"/>
          </w:tcPr>
          <w:p w:rsidR="00955C42" w:rsidRPr="002D0E3D" w:rsidRDefault="00955C42" w:rsidP="0043105F">
            <w:pPr>
              <w:autoSpaceDE w:val="0"/>
              <w:autoSpaceDN w:val="0"/>
              <w:adjustRightInd w:val="0"/>
              <w:ind w:right="10"/>
              <w:rPr>
                <w:color w:val="000000"/>
                <w:szCs w:val="24"/>
              </w:rPr>
            </w:pPr>
            <w:r w:rsidRPr="002D0E3D">
              <w:rPr>
                <w:b w:val="0"/>
                <w:color w:val="000000"/>
                <w:szCs w:val="24"/>
              </w:rPr>
              <w:t>Sum squared residual</w:t>
            </w:r>
          </w:p>
        </w:tc>
        <w:tc>
          <w:tcPr>
            <w:tcW w:w="1440" w:type="dxa"/>
            <w:tcBorders>
              <w:bottom w:val="nil"/>
            </w:tcBorders>
            <w:vAlign w:val="bottom"/>
          </w:tcPr>
          <w:p w:rsidR="00955C42" w:rsidRPr="002D0E3D" w:rsidRDefault="00955C42" w:rsidP="0043105F">
            <w:pPr>
              <w:autoSpaceDE w:val="0"/>
              <w:autoSpaceDN w:val="0"/>
              <w:adjustRightInd w:val="0"/>
              <w:ind w:right="10"/>
              <w:cnfStyle w:val="000000000000"/>
              <w:rPr>
                <w:color w:val="000000"/>
                <w:szCs w:val="24"/>
              </w:rPr>
            </w:pPr>
            <w:r w:rsidRPr="002D0E3D">
              <w:rPr>
                <w:color w:val="000000"/>
                <w:szCs w:val="24"/>
              </w:rPr>
              <w:t>10.74086</w:t>
            </w:r>
          </w:p>
        </w:tc>
        <w:tc>
          <w:tcPr>
            <w:tcW w:w="1260" w:type="dxa"/>
            <w:tcBorders>
              <w:bottom w:val="nil"/>
            </w:tcBorders>
            <w:vAlign w:val="bottom"/>
          </w:tcPr>
          <w:p w:rsidR="00955C42" w:rsidRPr="002D0E3D" w:rsidRDefault="00955C42" w:rsidP="0043105F">
            <w:pPr>
              <w:autoSpaceDE w:val="0"/>
              <w:autoSpaceDN w:val="0"/>
              <w:adjustRightInd w:val="0"/>
              <w:ind w:right="10"/>
              <w:cnfStyle w:val="000000000000"/>
              <w:rPr>
                <w:color w:val="000000"/>
                <w:szCs w:val="24"/>
              </w:rPr>
            </w:pPr>
          </w:p>
        </w:tc>
        <w:tc>
          <w:tcPr>
            <w:tcW w:w="1350" w:type="dxa"/>
            <w:tcBorders>
              <w:bottom w:val="nil"/>
            </w:tcBorders>
            <w:vAlign w:val="bottom"/>
          </w:tcPr>
          <w:p w:rsidR="00955C42" w:rsidRPr="002D0E3D" w:rsidRDefault="00955C42" w:rsidP="0043105F">
            <w:pPr>
              <w:autoSpaceDE w:val="0"/>
              <w:autoSpaceDN w:val="0"/>
              <w:adjustRightInd w:val="0"/>
              <w:ind w:right="10"/>
              <w:cnfStyle w:val="000000000000"/>
              <w:rPr>
                <w:color w:val="000000"/>
                <w:szCs w:val="24"/>
              </w:rPr>
            </w:pPr>
          </w:p>
        </w:tc>
        <w:tc>
          <w:tcPr>
            <w:tcW w:w="1260" w:type="dxa"/>
            <w:tcBorders>
              <w:bottom w:val="nil"/>
            </w:tcBorders>
          </w:tcPr>
          <w:p w:rsidR="00955C42" w:rsidRPr="002D0E3D" w:rsidRDefault="00955C42" w:rsidP="0043105F">
            <w:pPr>
              <w:cnfStyle w:val="000000000000"/>
              <w:rPr>
                <w:szCs w:val="24"/>
              </w:rPr>
            </w:pPr>
          </w:p>
        </w:tc>
      </w:tr>
      <w:tr w:rsidR="00955C42" w:rsidTr="0043105F">
        <w:trPr>
          <w:cnfStyle w:val="000000100000"/>
          <w:trHeight w:val="406"/>
        </w:trPr>
        <w:tc>
          <w:tcPr>
            <w:cnfStyle w:val="001000000000"/>
            <w:tcW w:w="2718" w:type="dxa"/>
            <w:tcBorders>
              <w:top w:val="nil"/>
              <w:bottom w:val="single" w:sz="4" w:space="0" w:color="auto"/>
            </w:tcBorders>
            <w:shd w:val="clear" w:color="auto" w:fill="auto"/>
            <w:vAlign w:val="bottom"/>
          </w:tcPr>
          <w:p w:rsidR="00955C42" w:rsidRPr="002D0E3D" w:rsidRDefault="00955C42" w:rsidP="0043105F">
            <w:pPr>
              <w:autoSpaceDE w:val="0"/>
              <w:autoSpaceDN w:val="0"/>
              <w:adjustRightInd w:val="0"/>
              <w:ind w:right="10"/>
              <w:rPr>
                <w:color w:val="000000"/>
                <w:szCs w:val="24"/>
              </w:rPr>
            </w:pPr>
            <w:r w:rsidRPr="002D0E3D">
              <w:rPr>
                <w:b w:val="0"/>
                <w:color w:val="000000"/>
                <w:szCs w:val="24"/>
              </w:rPr>
              <w:t> Durbin-Watson stat</w:t>
            </w:r>
          </w:p>
        </w:tc>
        <w:tc>
          <w:tcPr>
            <w:tcW w:w="1440" w:type="dxa"/>
            <w:tcBorders>
              <w:top w:val="nil"/>
              <w:bottom w:val="single" w:sz="4" w:space="0" w:color="auto"/>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r w:rsidRPr="002D0E3D">
              <w:rPr>
                <w:color w:val="000000"/>
                <w:szCs w:val="24"/>
              </w:rPr>
              <w:t>2.432943</w:t>
            </w:r>
          </w:p>
        </w:tc>
        <w:tc>
          <w:tcPr>
            <w:tcW w:w="1260" w:type="dxa"/>
            <w:tcBorders>
              <w:top w:val="nil"/>
              <w:bottom w:val="single" w:sz="4" w:space="0" w:color="auto"/>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350" w:type="dxa"/>
            <w:tcBorders>
              <w:top w:val="nil"/>
              <w:bottom w:val="single" w:sz="4" w:space="0" w:color="auto"/>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260" w:type="dxa"/>
            <w:tcBorders>
              <w:top w:val="nil"/>
              <w:bottom w:val="single" w:sz="4" w:space="0" w:color="auto"/>
            </w:tcBorders>
            <w:shd w:val="clear" w:color="auto" w:fill="auto"/>
          </w:tcPr>
          <w:p w:rsidR="00955C42" w:rsidRPr="002D0E3D" w:rsidRDefault="00955C42" w:rsidP="0043105F">
            <w:pPr>
              <w:cnfStyle w:val="000000100000"/>
              <w:rPr>
                <w:szCs w:val="24"/>
              </w:rPr>
            </w:pPr>
          </w:p>
        </w:tc>
      </w:tr>
    </w:tbl>
    <w:p w:rsidR="00955C42" w:rsidRPr="0036354B" w:rsidRDefault="00955C42" w:rsidP="00955C42">
      <w:pPr>
        <w:tabs>
          <w:tab w:val="left" w:pos="8220"/>
        </w:tabs>
        <w:spacing w:after="0" w:line="240" w:lineRule="auto"/>
        <w:contextualSpacing/>
        <w:rPr>
          <w:rFonts w:eastAsiaTheme="minorEastAsia"/>
          <w:i/>
          <w:sz w:val="24"/>
          <w:szCs w:val="24"/>
        </w:rPr>
      </w:pPr>
      <w:r w:rsidRPr="0036354B">
        <w:rPr>
          <w:rFonts w:eastAsiaTheme="minorEastAsia"/>
          <w:i/>
          <w:sz w:val="24"/>
          <w:szCs w:val="24"/>
        </w:rPr>
        <w:t>*p&lt;0.01</w:t>
      </w:r>
      <w:proofErr w:type="gramStart"/>
      <w:r w:rsidRPr="0036354B">
        <w:rPr>
          <w:rFonts w:eastAsiaTheme="minorEastAsia"/>
          <w:i/>
          <w:sz w:val="24"/>
          <w:szCs w:val="24"/>
        </w:rPr>
        <w:t>,*</w:t>
      </w:r>
      <w:proofErr w:type="gramEnd"/>
      <w:r w:rsidRPr="0036354B">
        <w:rPr>
          <w:rFonts w:eastAsiaTheme="minorEastAsia"/>
          <w:i/>
          <w:sz w:val="24"/>
          <w:szCs w:val="24"/>
        </w:rPr>
        <w:t>*p&lt;0.05</w:t>
      </w:r>
    </w:p>
    <w:p w:rsidR="00955C42" w:rsidRPr="0036354B" w:rsidRDefault="00955C42" w:rsidP="00955C42">
      <w:pPr>
        <w:tabs>
          <w:tab w:val="left" w:pos="8220"/>
        </w:tabs>
        <w:spacing w:after="0" w:line="240" w:lineRule="auto"/>
        <w:contextualSpacing/>
        <w:rPr>
          <w:rFonts w:eastAsiaTheme="minorEastAsia"/>
          <w:i/>
          <w:sz w:val="24"/>
          <w:szCs w:val="24"/>
        </w:rPr>
      </w:pPr>
      <w:r w:rsidRPr="0036354B">
        <w:rPr>
          <w:rFonts w:eastAsiaTheme="minorEastAsia"/>
          <w:i/>
          <w:sz w:val="24"/>
          <w:szCs w:val="24"/>
        </w:rPr>
        <w:t>Source</w:t>
      </w:r>
      <w:r>
        <w:rPr>
          <w:rFonts w:eastAsiaTheme="minorEastAsia"/>
          <w:i/>
          <w:sz w:val="24"/>
          <w:szCs w:val="24"/>
        </w:rPr>
        <w:t xml:space="preserve">: </w:t>
      </w:r>
      <w:r w:rsidRPr="0036354B">
        <w:rPr>
          <w:rFonts w:eastAsiaTheme="minorEastAsia"/>
          <w:i/>
          <w:sz w:val="24"/>
          <w:szCs w:val="24"/>
        </w:rPr>
        <w:t>Author</w:t>
      </w:r>
    </w:p>
    <w:p w:rsidR="00955C42" w:rsidRDefault="00955C42">
      <w:pPr>
        <w:jc w:val="left"/>
        <w:rPr>
          <w:b/>
          <w:sz w:val="24"/>
          <w:szCs w:val="24"/>
        </w:rPr>
      </w:pPr>
      <w:r>
        <w:rPr>
          <w:b/>
          <w:sz w:val="24"/>
          <w:szCs w:val="24"/>
        </w:rPr>
        <w:br w:type="page"/>
      </w:r>
    </w:p>
    <w:p w:rsidR="00955C42" w:rsidRPr="00BE7142" w:rsidRDefault="00955C42" w:rsidP="00955C42">
      <w:pPr>
        <w:tabs>
          <w:tab w:val="left" w:pos="8220"/>
        </w:tabs>
        <w:spacing w:after="0" w:line="240" w:lineRule="auto"/>
        <w:contextualSpacing/>
        <w:rPr>
          <w:b/>
          <w:sz w:val="24"/>
          <w:szCs w:val="24"/>
        </w:rPr>
      </w:pPr>
      <w:r w:rsidRPr="00BE7142">
        <w:rPr>
          <w:b/>
          <w:sz w:val="24"/>
          <w:szCs w:val="24"/>
        </w:rPr>
        <w:lastRenderedPageBreak/>
        <w:t>Table 4.4</w:t>
      </w:r>
    </w:p>
    <w:p w:rsidR="00955C42" w:rsidRPr="00BE7142" w:rsidRDefault="00955C42" w:rsidP="00955C42">
      <w:pPr>
        <w:tabs>
          <w:tab w:val="left" w:pos="8220"/>
        </w:tabs>
        <w:spacing w:after="0" w:line="240" w:lineRule="auto"/>
        <w:contextualSpacing/>
        <w:rPr>
          <w:rFonts w:eastAsiaTheme="minorEastAsia"/>
          <w:b/>
          <w:i/>
          <w:sz w:val="24"/>
          <w:szCs w:val="24"/>
        </w:rPr>
      </w:pPr>
      <w:r w:rsidRPr="00BE7142">
        <w:rPr>
          <w:rFonts w:eastAsiaTheme="minorEastAsia"/>
          <w:b/>
          <w:i/>
          <w:sz w:val="24"/>
          <w:szCs w:val="24"/>
        </w:rPr>
        <w:t>Regression 02</w:t>
      </w:r>
    </w:p>
    <w:p w:rsidR="00955C42" w:rsidRPr="00BE7142" w:rsidRDefault="00955C42" w:rsidP="00955C42">
      <w:pPr>
        <w:tabs>
          <w:tab w:val="left" w:pos="8220"/>
        </w:tabs>
        <w:spacing w:after="0" w:line="240" w:lineRule="auto"/>
        <w:contextualSpacing/>
        <w:rPr>
          <w:b/>
          <w:i/>
          <w:sz w:val="24"/>
          <w:szCs w:val="24"/>
        </w:rPr>
      </w:pPr>
      <w:r w:rsidRPr="00BE7142">
        <w:rPr>
          <w:b/>
          <w:i/>
          <w:sz w:val="24"/>
          <w:szCs w:val="24"/>
        </w:rPr>
        <w:t xml:space="preserve">Pooled </w:t>
      </w:r>
      <w:proofErr w:type="gramStart"/>
      <w:r w:rsidRPr="00BE7142">
        <w:rPr>
          <w:b/>
          <w:i/>
          <w:sz w:val="24"/>
          <w:szCs w:val="24"/>
        </w:rPr>
        <w:t>Regression(</w:t>
      </w:r>
      <w:proofErr w:type="gramEnd"/>
      <w:r w:rsidRPr="00BE7142">
        <w:rPr>
          <w:b/>
          <w:i/>
          <w:sz w:val="24"/>
          <w:szCs w:val="24"/>
        </w:rPr>
        <w:t xml:space="preserve"> considering the control variable)</w:t>
      </w:r>
    </w:p>
    <w:tbl>
      <w:tblPr>
        <w:tblStyle w:val="LightShading"/>
        <w:tblW w:w="7308" w:type="dxa"/>
        <w:tblLook w:val="04A0"/>
      </w:tblPr>
      <w:tblGrid>
        <w:gridCol w:w="2088"/>
        <w:gridCol w:w="1350"/>
        <w:gridCol w:w="1350"/>
        <w:gridCol w:w="1350"/>
        <w:gridCol w:w="1170"/>
      </w:tblGrid>
      <w:tr w:rsidR="00955C42" w:rsidTr="0043105F">
        <w:trPr>
          <w:cnfStyle w:val="100000000000"/>
          <w:trHeight w:val="609"/>
        </w:trPr>
        <w:tc>
          <w:tcPr>
            <w:cnfStyle w:val="001000000000"/>
            <w:tcW w:w="2088" w:type="dxa"/>
          </w:tcPr>
          <w:p w:rsidR="00955C42" w:rsidRPr="002D0E3D" w:rsidRDefault="00955C42" w:rsidP="0043105F">
            <w:pPr>
              <w:tabs>
                <w:tab w:val="left" w:pos="8220"/>
              </w:tabs>
              <w:contextualSpacing/>
              <w:rPr>
                <w:rFonts w:eastAsiaTheme="minorEastAsia"/>
                <w:szCs w:val="24"/>
              </w:rPr>
            </w:pPr>
            <w:r w:rsidRPr="002D0E3D">
              <w:rPr>
                <w:rFonts w:eastAsiaTheme="minorEastAsia"/>
                <w:szCs w:val="24"/>
              </w:rPr>
              <w:t>Variable</w:t>
            </w:r>
          </w:p>
        </w:tc>
        <w:tc>
          <w:tcPr>
            <w:tcW w:w="1350" w:type="dxa"/>
          </w:tcPr>
          <w:p w:rsidR="00955C42" w:rsidRPr="002D0E3D" w:rsidRDefault="00955C42" w:rsidP="0043105F">
            <w:pPr>
              <w:tabs>
                <w:tab w:val="left" w:pos="8220"/>
              </w:tabs>
              <w:contextualSpacing/>
              <w:cnfStyle w:val="100000000000"/>
              <w:rPr>
                <w:rFonts w:eastAsiaTheme="minorEastAsia"/>
                <w:szCs w:val="24"/>
              </w:rPr>
            </w:pPr>
            <w:r w:rsidRPr="002D0E3D">
              <w:rPr>
                <w:rFonts w:eastAsiaTheme="minorEastAsia"/>
                <w:szCs w:val="24"/>
              </w:rPr>
              <w:t>Coefficient</w:t>
            </w:r>
          </w:p>
        </w:tc>
        <w:tc>
          <w:tcPr>
            <w:tcW w:w="1350" w:type="dxa"/>
          </w:tcPr>
          <w:p w:rsidR="00955C42" w:rsidRPr="002D0E3D" w:rsidRDefault="00955C42" w:rsidP="0043105F">
            <w:pPr>
              <w:tabs>
                <w:tab w:val="left" w:pos="8220"/>
              </w:tabs>
              <w:contextualSpacing/>
              <w:cnfStyle w:val="100000000000"/>
              <w:rPr>
                <w:rFonts w:eastAsiaTheme="minorEastAsia"/>
                <w:szCs w:val="24"/>
              </w:rPr>
            </w:pPr>
            <w:proofErr w:type="spellStart"/>
            <w:r w:rsidRPr="002D0E3D">
              <w:rPr>
                <w:rFonts w:eastAsiaTheme="minorEastAsia"/>
                <w:szCs w:val="24"/>
              </w:rPr>
              <w:t>Std.Error</w:t>
            </w:r>
            <w:proofErr w:type="spellEnd"/>
          </w:p>
        </w:tc>
        <w:tc>
          <w:tcPr>
            <w:tcW w:w="1350" w:type="dxa"/>
          </w:tcPr>
          <w:p w:rsidR="00955C42" w:rsidRPr="002D0E3D" w:rsidRDefault="00955C42" w:rsidP="0043105F">
            <w:pPr>
              <w:tabs>
                <w:tab w:val="left" w:pos="8220"/>
              </w:tabs>
              <w:contextualSpacing/>
              <w:cnfStyle w:val="100000000000"/>
              <w:rPr>
                <w:rFonts w:eastAsiaTheme="minorEastAsia"/>
                <w:szCs w:val="24"/>
              </w:rPr>
            </w:pPr>
            <w:r w:rsidRPr="002D0E3D">
              <w:rPr>
                <w:rFonts w:eastAsiaTheme="minorEastAsia"/>
                <w:szCs w:val="24"/>
              </w:rPr>
              <w:t>t-statistic</w:t>
            </w:r>
          </w:p>
        </w:tc>
        <w:tc>
          <w:tcPr>
            <w:tcW w:w="1170" w:type="dxa"/>
          </w:tcPr>
          <w:p w:rsidR="00955C42" w:rsidRPr="002D0E3D" w:rsidRDefault="00955C42" w:rsidP="0043105F">
            <w:pPr>
              <w:tabs>
                <w:tab w:val="left" w:pos="8220"/>
              </w:tabs>
              <w:contextualSpacing/>
              <w:cnfStyle w:val="100000000000"/>
              <w:rPr>
                <w:rFonts w:eastAsiaTheme="minorEastAsia"/>
                <w:szCs w:val="24"/>
              </w:rPr>
            </w:pPr>
            <w:r w:rsidRPr="002D0E3D">
              <w:rPr>
                <w:rFonts w:eastAsiaTheme="minorEastAsia"/>
                <w:szCs w:val="24"/>
              </w:rPr>
              <w:t>Prob.</w:t>
            </w:r>
          </w:p>
        </w:tc>
      </w:tr>
      <w:tr w:rsidR="00955C42" w:rsidTr="0043105F">
        <w:trPr>
          <w:cnfStyle w:val="000000100000"/>
          <w:trHeight w:val="406"/>
        </w:trPr>
        <w:tc>
          <w:tcPr>
            <w:cnfStyle w:val="001000000000"/>
            <w:tcW w:w="2088" w:type="dxa"/>
            <w:shd w:val="clear" w:color="auto" w:fill="auto"/>
          </w:tcPr>
          <w:p w:rsidR="00955C42" w:rsidRPr="002D0E3D" w:rsidRDefault="00955C42" w:rsidP="0043105F">
            <w:pPr>
              <w:rPr>
                <w:szCs w:val="24"/>
              </w:rPr>
            </w:pPr>
            <w:r w:rsidRPr="002D0E3D">
              <w:rPr>
                <w:b w:val="0"/>
                <w:szCs w:val="24"/>
              </w:rPr>
              <w:t>C</w:t>
            </w:r>
          </w:p>
        </w:tc>
        <w:tc>
          <w:tcPr>
            <w:tcW w:w="1350" w:type="dxa"/>
            <w:shd w:val="clear" w:color="auto" w:fill="auto"/>
          </w:tcPr>
          <w:p w:rsidR="00955C42" w:rsidRPr="002D0E3D" w:rsidRDefault="00955C42" w:rsidP="0043105F">
            <w:pPr>
              <w:cnfStyle w:val="000000100000"/>
              <w:rPr>
                <w:szCs w:val="24"/>
              </w:rPr>
            </w:pPr>
            <w:r w:rsidRPr="002D0E3D">
              <w:rPr>
                <w:szCs w:val="24"/>
              </w:rPr>
              <w:t>-0.526059</w:t>
            </w:r>
          </w:p>
        </w:tc>
        <w:tc>
          <w:tcPr>
            <w:tcW w:w="1350" w:type="dxa"/>
            <w:shd w:val="clear" w:color="auto" w:fill="auto"/>
          </w:tcPr>
          <w:p w:rsidR="00955C42" w:rsidRPr="002D0E3D" w:rsidRDefault="00955C42" w:rsidP="0043105F">
            <w:pPr>
              <w:cnfStyle w:val="000000100000"/>
              <w:rPr>
                <w:szCs w:val="24"/>
              </w:rPr>
            </w:pPr>
            <w:r w:rsidRPr="002D0E3D">
              <w:rPr>
                <w:szCs w:val="24"/>
              </w:rPr>
              <w:t>0.679828</w:t>
            </w:r>
          </w:p>
        </w:tc>
        <w:tc>
          <w:tcPr>
            <w:tcW w:w="1350" w:type="dxa"/>
            <w:shd w:val="clear" w:color="auto" w:fill="auto"/>
          </w:tcPr>
          <w:p w:rsidR="00955C42" w:rsidRPr="002D0E3D" w:rsidRDefault="00955C42" w:rsidP="0043105F">
            <w:pPr>
              <w:cnfStyle w:val="000000100000"/>
              <w:rPr>
                <w:szCs w:val="24"/>
              </w:rPr>
            </w:pPr>
            <w:r w:rsidRPr="002D0E3D">
              <w:rPr>
                <w:szCs w:val="24"/>
              </w:rPr>
              <w:t>-0.773812</w:t>
            </w:r>
          </w:p>
        </w:tc>
        <w:tc>
          <w:tcPr>
            <w:tcW w:w="1170" w:type="dxa"/>
            <w:shd w:val="clear" w:color="auto" w:fill="auto"/>
          </w:tcPr>
          <w:p w:rsidR="00955C42" w:rsidRPr="002D0E3D" w:rsidRDefault="00955C42" w:rsidP="0043105F">
            <w:pPr>
              <w:cnfStyle w:val="000000100000"/>
              <w:rPr>
                <w:szCs w:val="24"/>
              </w:rPr>
            </w:pPr>
            <w:r w:rsidRPr="002D0E3D">
              <w:rPr>
                <w:szCs w:val="24"/>
              </w:rPr>
              <w:t>0.4409</w:t>
            </w:r>
          </w:p>
        </w:tc>
      </w:tr>
      <w:tr w:rsidR="00955C42" w:rsidTr="0043105F">
        <w:trPr>
          <w:trHeight w:val="406"/>
        </w:trPr>
        <w:tc>
          <w:tcPr>
            <w:cnfStyle w:val="001000000000"/>
            <w:tcW w:w="2088" w:type="dxa"/>
          </w:tcPr>
          <w:p w:rsidR="00955C42" w:rsidRPr="002D0E3D" w:rsidRDefault="00955C42" w:rsidP="0043105F">
            <w:pPr>
              <w:rPr>
                <w:szCs w:val="24"/>
              </w:rPr>
            </w:pPr>
            <m:oMathPara>
              <m:oMathParaPr>
                <m:jc m:val="left"/>
              </m:oMathParaPr>
              <m:oMath>
                <m:sSub>
                  <m:sSubPr>
                    <m:ctrlPr>
                      <w:rPr>
                        <w:rFonts w:ascii="Cambria Math" w:hAnsi="Cambria Math"/>
                        <w:b w:val="0"/>
                        <w:i/>
                        <w:szCs w:val="24"/>
                      </w:rPr>
                    </m:ctrlPr>
                  </m:sSubPr>
                  <m:e>
                    <m:r>
                      <m:rPr>
                        <m:sty m:val="bi"/>
                      </m:rPr>
                      <w:rPr>
                        <w:rFonts w:ascii="Cambria Math" w:hAnsi="Cambria Math"/>
                        <w:szCs w:val="24"/>
                      </w:rPr>
                      <m:t>R</m:t>
                    </m:r>
                  </m:e>
                  <m:sub>
                    <m:r>
                      <m:rPr>
                        <m:sty m:val="bi"/>
                      </m:rPr>
                      <w:rPr>
                        <w:rFonts w:ascii="Cambria Math" w:hAnsi="Cambria Math"/>
                        <w:szCs w:val="24"/>
                      </w:rPr>
                      <m:t>m</m:t>
                    </m:r>
                  </m:sub>
                </m:sSub>
              </m:oMath>
            </m:oMathPara>
          </w:p>
        </w:tc>
        <w:tc>
          <w:tcPr>
            <w:tcW w:w="1350" w:type="dxa"/>
          </w:tcPr>
          <w:p w:rsidR="00955C42" w:rsidRPr="002D0E3D" w:rsidRDefault="00955C42" w:rsidP="0043105F">
            <w:pPr>
              <w:cnfStyle w:val="000000000000"/>
              <w:rPr>
                <w:szCs w:val="24"/>
              </w:rPr>
            </w:pPr>
            <w:r w:rsidRPr="002D0E3D">
              <w:rPr>
                <w:szCs w:val="24"/>
              </w:rPr>
              <w:t>-0.484124</w:t>
            </w:r>
          </w:p>
        </w:tc>
        <w:tc>
          <w:tcPr>
            <w:tcW w:w="1350" w:type="dxa"/>
          </w:tcPr>
          <w:p w:rsidR="00955C42" w:rsidRPr="002D0E3D" w:rsidRDefault="00955C42" w:rsidP="0043105F">
            <w:pPr>
              <w:cnfStyle w:val="000000000000"/>
              <w:rPr>
                <w:szCs w:val="24"/>
              </w:rPr>
            </w:pPr>
            <w:r w:rsidRPr="002D0E3D">
              <w:rPr>
                <w:szCs w:val="24"/>
              </w:rPr>
              <w:t>0.060143</w:t>
            </w:r>
          </w:p>
        </w:tc>
        <w:tc>
          <w:tcPr>
            <w:tcW w:w="1350" w:type="dxa"/>
          </w:tcPr>
          <w:p w:rsidR="00955C42" w:rsidRPr="002D0E3D" w:rsidRDefault="00955C42" w:rsidP="0043105F">
            <w:pPr>
              <w:cnfStyle w:val="000000000000"/>
              <w:rPr>
                <w:szCs w:val="24"/>
              </w:rPr>
            </w:pPr>
            <w:r w:rsidRPr="002D0E3D">
              <w:rPr>
                <w:szCs w:val="24"/>
              </w:rPr>
              <w:t>-8.049586</w:t>
            </w:r>
          </w:p>
        </w:tc>
        <w:tc>
          <w:tcPr>
            <w:tcW w:w="1170" w:type="dxa"/>
          </w:tcPr>
          <w:p w:rsidR="00955C42" w:rsidRPr="002D0E3D" w:rsidRDefault="00955C42" w:rsidP="0043105F">
            <w:pPr>
              <w:cnfStyle w:val="000000000000"/>
              <w:rPr>
                <w:szCs w:val="24"/>
              </w:rPr>
            </w:pPr>
            <w:r w:rsidRPr="002D0E3D">
              <w:rPr>
                <w:szCs w:val="24"/>
              </w:rPr>
              <w:t>0.0000*</w:t>
            </w:r>
          </w:p>
        </w:tc>
      </w:tr>
      <w:tr w:rsidR="00955C42" w:rsidTr="0043105F">
        <w:trPr>
          <w:cnfStyle w:val="000000100000"/>
          <w:trHeight w:val="406"/>
        </w:trPr>
        <w:tc>
          <w:tcPr>
            <w:cnfStyle w:val="001000000000"/>
            <w:tcW w:w="2088" w:type="dxa"/>
            <w:shd w:val="clear" w:color="auto" w:fill="auto"/>
          </w:tcPr>
          <w:p w:rsidR="00955C42" w:rsidRPr="002D0E3D" w:rsidRDefault="00955C42" w:rsidP="0043105F">
            <w:pPr>
              <w:rPr>
                <w:szCs w:val="24"/>
              </w:rPr>
            </w:pPr>
            <w:r w:rsidRPr="002D0E3D">
              <w:rPr>
                <w:b w:val="0"/>
                <w:szCs w:val="24"/>
              </w:rPr>
              <w:t>NETIM</w:t>
            </w:r>
          </w:p>
        </w:tc>
        <w:tc>
          <w:tcPr>
            <w:tcW w:w="1350" w:type="dxa"/>
            <w:shd w:val="clear" w:color="auto" w:fill="auto"/>
          </w:tcPr>
          <w:p w:rsidR="00955C42" w:rsidRPr="002D0E3D" w:rsidRDefault="00955C42" w:rsidP="0043105F">
            <w:pPr>
              <w:cnfStyle w:val="000000100000"/>
              <w:rPr>
                <w:szCs w:val="24"/>
              </w:rPr>
            </w:pPr>
            <w:r w:rsidRPr="002D0E3D">
              <w:rPr>
                <w:szCs w:val="24"/>
              </w:rPr>
              <w:t>3.861639</w:t>
            </w:r>
          </w:p>
        </w:tc>
        <w:tc>
          <w:tcPr>
            <w:tcW w:w="1350" w:type="dxa"/>
            <w:shd w:val="clear" w:color="auto" w:fill="auto"/>
          </w:tcPr>
          <w:p w:rsidR="00955C42" w:rsidRPr="002D0E3D" w:rsidRDefault="00955C42" w:rsidP="0043105F">
            <w:pPr>
              <w:cnfStyle w:val="000000100000"/>
              <w:rPr>
                <w:szCs w:val="24"/>
              </w:rPr>
            </w:pPr>
            <w:r w:rsidRPr="002D0E3D">
              <w:rPr>
                <w:szCs w:val="24"/>
              </w:rPr>
              <w:t>3.452552</w:t>
            </w:r>
          </w:p>
        </w:tc>
        <w:tc>
          <w:tcPr>
            <w:tcW w:w="1350" w:type="dxa"/>
            <w:shd w:val="clear" w:color="auto" w:fill="auto"/>
          </w:tcPr>
          <w:p w:rsidR="00955C42" w:rsidRPr="002D0E3D" w:rsidRDefault="00955C42" w:rsidP="0043105F">
            <w:pPr>
              <w:cnfStyle w:val="000000100000"/>
              <w:rPr>
                <w:szCs w:val="24"/>
              </w:rPr>
            </w:pPr>
            <w:r w:rsidRPr="002D0E3D">
              <w:rPr>
                <w:szCs w:val="24"/>
              </w:rPr>
              <w:t>1.118488</w:t>
            </w:r>
          </w:p>
        </w:tc>
        <w:tc>
          <w:tcPr>
            <w:tcW w:w="1170" w:type="dxa"/>
            <w:shd w:val="clear" w:color="auto" w:fill="auto"/>
          </w:tcPr>
          <w:p w:rsidR="00955C42" w:rsidRPr="002D0E3D" w:rsidRDefault="00955C42" w:rsidP="0043105F">
            <w:pPr>
              <w:cnfStyle w:val="000000100000"/>
              <w:rPr>
                <w:szCs w:val="24"/>
              </w:rPr>
            </w:pPr>
            <w:r w:rsidRPr="002D0E3D">
              <w:rPr>
                <w:szCs w:val="24"/>
              </w:rPr>
              <w:t>0.2661</w:t>
            </w:r>
          </w:p>
        </w:tc>
      </w:tr>
      <w:tr w:rsidR="00955C42" w:rsidTr="0043105F">
        <w:trPr>
          <w:trHeight w:val="406"/>
        </w:trPr>
        <w:tc>
          <w:tcPr>
            <w:cnfStyle w:val="001000000000"/>
            <w:tcW w:w="2088" w:type="dxa"/>
          </w:tcPr>
          <w:p w:rsidR="00955C42" w:rsidRPr="002D0E3D" w:rsidRDefault="00955C42" w:rsidP="0043105F">
            <w:pPr>
              <w:rPr>
                <w:szCs w:val="24"/>
              </w:rPr>
            </w:pPr>
            <w:r w:rsidRPr="002D0E3D">
              <w:rPr>
                <w:b w:val="0"/>
                <w:szCs w:val="24"/>
              </w:rPr>
              <w:t>NNIM</w:t>
            </w:r>
          </w:p>
        </w:tc>
        <w:tc>
          <w:tcPr>
            <w:tcW w:w="1350" w:type="dxa"/>
          </w:tcPr>
          <w:p w:rsidR="00955C42" w:rsidRPr="002D0E3D" w:rsidRDefault="00955C42" w:rsidP="0043105F">
            <w:pPr>
              <w:cnfStyle w:val="000000000000"/>
              <w:rPr>
                <w:szCs w:val="24"/>
              </w:rPr>
            </w:pPr>
            <w:r w:rsidRPr="002D0E3D">
              <w:rPr>
                <w:szCs w:val="24"/>
              </w:rPr>
              <w:t>5.55187</w:t>
            </w:r>
          </w:p>
        </w:tc>
        <w:tc>
          <w:tcPr>
            <w:tcW w:w="1350" w:type="dxa"/>
          </w:tcPr>
          <w:p w:rsidR="00955C42" w:rsidRPr="002D0E3D" w:rsidRDefault="00955C42" w:rsidP="0043105F">
            <w:pPr>
              <w:cnfStyle w:val="000000000000"/>
              <w:rPr>
                <w:szCs w:val="24"/>
              </w:rPr>
            </w:pPr>
            <w:r w:rsidRPr="002D0E3D">
              <w:rPr>
                <w:szCs w:val="24"/>
              </w:rPr>
              <w:t>2.573164</w:t>
            </w:r>
          </w:p>
        </w:tc>
        <w:tc>
          <w:tcPr>
            <w:tcW w:w="1350" w:type="dxa"/>
          </w:tcPr>
          <w:p w:rsidR="00955C42" w:rsidRPr="002D0E3D" w:rsidRDefault="00955C42" w:rsidP="0043105F">
            <w:pPr>
              <w:cnfStyle w:val="000000000000"/>
              <w:rPr>
                <w:szCs w:val="24"/>
              </w:rPr>
            </w:pPr>
            <w:r w:rsidRPr="002D0E3D">
              <w:rPr>
                <w:szCs w:val="24"/>
              </w:rPr>
              <w:t>2.157605</w:t>
            </w:r>
          </w:p>
        </w:tc>
        <w:tc>
          <w:tcPr>
            <w:tcW w:w="1170" w:type="dxa"/>
          </w:tcPr>
          <w:p w:rsidR="00955C42" w:rsidRPr="002D0E3D" w:rsidRDefault="00955C42" w:rsidP="0043105F">
            <w:pPr>
              <w:cnfStyle w:val="000000000000"/>
              <w:rPr>
                <w:szCs w:val="24"/>
              </w:rPr>
            </w:pPr>
            <w:r w:rsidRPr="002D0E3D">
              <w:rPr>
                <w:szCs w:val="24"/>
              </w:rPr>
              <w:t>0.0334**</w:t>
            </w:r>
          </w:p>
        </w:tc>
      </w:tr>
      <w:tr w:rsidR="00955C42" w:rsidTr="0043105F">
        <w:trPr>
          <w:cnfStyle w:val="000000100000"/>
          <w:trHeight w:val="406"/>
        </w:trPr>
        <w:tc>
          <w:tcPr>
            <w:cnfStyle w:val="001000000000"/>
            <w:tcW w:w="2088" w:type="dxa"/>
            <w:shd w:val="clear" w:color="auto" w:fill="auto"/>
          </w:tcPr>
          <w:p w:rsidR="00955C42" w:rsidRPr="002D0E3D" w:rsidRDefault="00955C42" w:rsidP="0043105F">
            <w:pPr>
              <w:rPr>
                <w:szCs w:val="24"/>
              </w:rPr>
            </w:pPr>
            <w:r w:rsidRPr="002D0E3D">
              <w:rPr>
                <w:b w:val="0"/>
                <w:szCs w:val="24"/>
              </w:rPr>
              <w:t>PROV</w:t>
            </w:r>
          </w:p>
        </w:tc>
        <w:tc>
          <w:tcPr>
            <w:tcW w:w="1350" w:type="dxa"/>
            <w:shd w:val="clear" w:color="auto" w:fill="auto"/>
          </w:tcPr>
          <w:p w:rsidR="00955C42" w:rsidRPr="002D0E3D" w:rsidRDefault="00955C42" w:rsidP="0043105F">
            <w:pPr>
              <w:cnfStyle w:val="000000100000"/>
              <w:rPr>
                <w:szCs w:val="24"/>
              </w:rPr>
            </w:pPr>
            <w:r w:rsidRPr="002D0E3D">
              <w:rPr>
                <w:szCs w:val="24"/>
              </w:rPr>
              <w:t>-0.12546</w:t>
            </w:r>
          </w:p>
        </w:tc>
        <w:tc>
          <w:tcPr>
            <w:tcW w:w="1350" w:type="dxa"/>
            <w:shd w:val="clear" w:color="auto" w:fill="auto"/>
          </w:tcPr>
          <w:p w:rsidR="00955C42" w:rsidRPr="002D0E3D" w:rsidRDefault="00955C42" w:rsidP="0043105F">
            <w:pPr>
              <w:cnfStyle w:val="000000100000"/>
              <w:rPr>
                <w:szCs w:val="24"/>
              </w:rPr>
            </w:pPr>
            <w:r w:rsidRPr="002D0E3D">
              <w:rPr>
                <w:szCs w:val="24"/>
              </w:rPr>
              <w:t>8.500792</w:t>
            </w:r>
          </w:p>
        </w:tc>
        <w:tc>
          <w:tcPr>
            <w:tcW w:w="1350" w:type="dxa"/>
            <w:shd w:val="clear" w:color="auto" w:fill="auto"/>
          </w:tcPr>
          <w:p w:rsidR="00955C42" w:rsidRPr="002D0E3D" w:rsidRDefault="00955C42" w:rsidP="0043105F">
            <w:pPr>
              <w:cnfStyle w:val="000000100000"/>
              <w:rPr>
                <w:szCs w:val="24"/>
              </w:rPr>
            </w:pPr>
            <w:r w:rsidRPr="002D0E3D">
              <w:rPr>
                <w:szCs w:val="24"/>
              </w:rPr>
              <w:t>-0.014759</w:t>
            </w:r>
          </w:p>
        </w:tc>
        <w:tc>
          <w:tcPr>
            <w:tcW w:w="1170" w:type="dxa"/>
            <w:shd w:val="clear" w:color="auto" w:fill="auto"/>
          </w:tcPr>
          <w:p w:rsidR="00955C42" w:rsidRPr="002D0E3D" w:rsidRDefault="00955C42" w:rsidP="0043105F">
            <w:pPr>
              <w:cnfStyle w:val="000000100000"/>
              <w:rPr>
                <w:szCs w:val="24"/>
              </w:rPr>
            </w:pPr>
            <w:r w:rsidRPr="002D0E3D">
              <w:rPr>
                <w:szCs w:val="24"/>
              </w:rPr>
              <w:t>0.9883</w:t>
            </w:r>
          </w:p>
        </w:tc>
      </w:tr>
      <w:tr w:rsidR="00955C42" w:rsidTr="0043105F">
        <w:trPr>
          <w:trHeight w:val="406"/>
        </w:trPr>
        <w:tc>
          <w:tcPr>
            <w:cnfStyle w:val="001000000000"/>
            <w:tcW w:w="2088" w:type="dxa"/>
            <w:tcBorders>
              <w:bottom w:val="nil"/>
            </w:tcBorders>
          </w:tcPr>
          <w:p w:rsidR="00955C42" w:rsidRPr="002D0E3D" w:rsidRDefault="00955C42" w:rsidP="0043105F">
            <w:pPr>
              <w:rPr>
                <w:szCs w:val="24"/>
              </w:rPr>
            </w:pPr>
            <w:r w:rsidRPr="002D0E3D">
              <w:rPr>
                <w:b w:val="0"/>
                <w:szCs w:val="24"/>
              </w:rPr>
              <w:t>CAR</w:t>
            </w:r>
          </w:p>
        </w:tc>
        <w:tc>
          <w:tcPr>
            <w:tcW w:w="1350" w:type="dxa"/>
            <w:tcBorders>
              <w:bottom w:val="nil"/>
            </w:tcBorders>
          </w:tcPr>
          <w:p w:rsidR="00955C42" w:rsidRPr="002D0E3D" w:rsidRDefault="00955C42" w:rsidP="0043105F">
            <w:pPr>
              <w:cnfStyle w:val="000000000000"/>
              <w:rPr>
                <w:szCs w:val="24"/>
              </w:rPr>
            </w:pPr>
            <w:r w:rsidRPr="002D0E3D">
              <w:rPr>
                <w:szCs w:val="24"/>
              </w:rPr>
              <w:t>-0.13350</w:t>
            </w:r>
          </w:p>
        </w:tc>
        <w:tc>
          <w:tcPr>
            <w:tcW w:w="1350" w:type="dxa"/>
            <w:tcBorders>
              <w:bottom w:val="nil"/>
            </w:tcBorders>
          </w:tcPr>
          <w:p w:rsidR="00955C42" w:rsidRPr="002D0E3D" w:rsidRDefault="00955C42" w:rsidP="0043105F">
            <w:pPr>
              <w:cnfStyle w:val="000000000000"/>
              <w:rPr>
                <w:szCs w:val="24"/>
              </w:rPr>
            </w:pPr>
            <w:r w:rsidRPr="002D0E3D">
              <w:rPr>
                <w:szCs w:val="24"/>
              </w:rPr>
              <w:t>0.336552</w:t>
            </w:r>
          </w:p>
        </w:tc>
        <w:tc>
          <w:tcPr>
            <w:tcW w:w="1350" w:type="dxa"/>
            <w:tcBorders>
              <w:bottom w:val="nil"/>
            </w:tcBorders>
          </w:tcPr>
          <w:p w:rsidR="00955C42" w:rsidRPr="002D0E3D" w:rsidRDefault="00955C42" w:rsidP="0043105F">
            <w:pPr>
              <w:cnfStyle w:val="000000000000"/>
              <w:rPr>
                <w:szCs w:val="24"/>
              </w:rPr>
            </w:pPr>
            <w:r w:rsidRPr="002D0E3D">
              <w:rPr>
                <w:szCs w:val="24"/>
              </w:rPr>
              <w:t>-0.396671</w:t>
            </w:r>
          </w:p>
        </w:tc>
        <w:tc>
          <w:tcPr>
            <w:tcW w:w="1170" w:type="dxa"/>
            <w:tcBorders>
              <w:bottom w:val="nil"/>
            </w:tcBorders>
          </w:tcPr>
          <w:p w:rsidR="00955C42" w:rsidRPr="002D0E3D" w:rsidRDefault="00955C42" w:rsidP="0043105F">
            <w:pPr>
              <w:cnfStyle w:val="000000000000"/>
              <w:rPr>
                <w:szCs w:val="24"/>
              </w:rPr>
            </w:pPr>
            <w:r w:rsidRPr="002D0E3D">
              <w:rPr>
                <w:szCs w:val="24"/>
              </w:rPr>
              <w:t>0.6925</w:t>
            </w:r>
          </w:p>
        </w:tc>
      </w:tr>
      <w:tr w:rsidR="00955C42" w:rsidTr="0043105F">
        <w:trPr>
          <w:cnfStyle w:val="000000100000"/>
          <w:trHeight w:val="406"/>
        </w:trPr>
        <w:tc>
          <w:tcPr>
            <w:cnfStyle w:val="001000000000"/>
            <w:tcW w:w="2088" w:type="dxa"/>
            <w:tcBorders>
              <w:top w:val="nil"/>
              <w:bottom w:val="single" w:sz="4" w:space="0" w:color="auto"/>
            </w:tcBorders>
            <w:shd w:val="clear" w:color="auto" w:fill="auto"/>
          </w:tcPr>
          <w:p w:rsidR="00955C42" w:rsidRPr="002D0E3D" w:rsidRDefault="00955C42" w:rsidP="0043105F">
            <w:pPr>
              <w:rPr>
                <w:szCs w:val="24"/>
              </w:rPr>
            </w:pPr>
            <w:r w:rsidRPr="002D0E3D">
              <w:rPr>
                <w:b w:val="0"/>
                <w:szCs w:val="24"/>
              </w:rPr>
              <w:t>TA(log)</w:t>
            </w:r>
          </w:p>
        </w:tc>
        <w:tc>
          <w:tcPr>
            <w:tcW w:w="1350" w:type="dxa"/>
            <w:tcBorders>
              <w:top w:val="nil"/>
              <w:bottom w:val="single" w:sz="4" w:space="0" w:color="auto"/>
            </w:tcBorders>
            <w:shd w:val="clear" w:color="auto" w:fill="auto"/>
          </w:tcPr>
          <w:p w:rsidR="00955C42" w:rsidRPr="002D0E3D" w:rsidRDefault="00955C42" w:rsidP="0043105F">
            <w:pPr>
              <w:cnfStyle w:val="000000100000"/>
              <w:rPr>
                <w:szCs w:val="24"/>
              </w:rPr>
            </w:pPr>
            <w:r w:rsidRPr="002D0E3D">
              <w:rPr>
                <w:szCs w:val="24"/>
              </w:rPr>
              <w:t>0.011416</w:t>
            </w:r>
          </w:p>
        </w:tc>
        <w:tc>
          <w:tcPr>
            <w:tcW w:w="1350" w:type="dxa"/>
            <w:tcBorders>
              <w:top w:val="nil"/>
              <w:bottom w:val="single" w:sz="4" w:space="0" w:color="auto"/>
            </w:tcBorders>
            <w:shd w:val="clear" w:color="auto" w:fill="auto"/>
          </w:tcPr>
          <w:p w:rsidR="00955C42" w:rsidRPr="002D0E3D" w:rsidRDefault="00955C42" w:rsidP="0043105F">
            <w:pPr>
              <w:cnfStyle w:val="000000100000"/>
              <w:rPr>
                <w:szCs w:val="24"/>
              </w:rPr>
            </w:pPr>
            <w:r w:rsidRPr="002D0E3D">
              <w:rPr>
                <w:szCs w:val="24"/>
              </w:rPr>
              <w:t>0.033143</w:t>
            </w:r>
          </w:p>
        </w:tc>
        <w:tc>
          <w:tcPr>
            <w:tcW w:w="1350" w:type="dxa"/>
            <w:tcBorders>
              <w:top w:val="nil"/>
              <w:bottom w:val="single" w:sz="4" w:space="0" w:color="auto"/>
            </w:tcBorders>
            <w:shd w:val="clear" w:color="auto" w:fill="auto"/>
          </w:tcPr>
          <w:p w:rsidR="00955C42" w:rsidRPr="002D0E3D" w:rsidRDefault="00955C42" w:rsidP="0043105F">
            <w:pPr>
              <w:cnfStyle w:val="000000100000"/>
              <w:rPr>
                <w:szCs w:val="24"/>
              </w:rPr>
            </w:pPr>
            <w:r w:rsidRPr="002D0E3D">
              <w:rPr>
                <w:szCs w:val="24"/>
              </w:rPr>
              <w:t>0.344445</w:t>
            </w:r>
          </w:p>
        </w:tc>
        <w:tc>
          <w:tcPr>
            <w:tcW w:w="1170" w:type="dxa"/>
            <w:tcBorders>
              <w:top w:val="nil"/>
              <w:bottom w:val="single" w:sz="4" w:space="0" w:color="auto"/>
            </w:tcBorders>
            <w:shd w:val="clear" w:color="auto" w:fill="auto"/>
          </w:tcPr>
          <w:p w:rsidR="00955C42" w:rsidRPr="002D0E3D" w:rsidRDefault="00955C42" w:rsidP="0043105F">
            <w:pPr>
              <w:cnfStyle w:val="000000100000"/>
              <w:rPr>
                <w:szCs w:val="24"/>
              </w:rPr>
            </w:pPr>
            <w:r w:rsidRPr="002D0E3D">
              <w:rPr>
                <w:szCs w:val="24"/>
              </w:rPr>
              <w:t>0.7313</w:t>
            </w:r>
          </w:p>
        </w:tc>
      </w:tr>
      <w:tr w:rsidR="00955C42" w:rsidTr="0043105F">
        <w:trPr>
          <w:trHeight w:val="406"/>
        </w:trPr>
        <w:tc>
          <w:tcPr>
            <w:cnfStyle w:val="001000000000"/>
            <w:tcW w:w="2088" w:type="dxa"/>
            <w:tcBorders>
              <w:top w:val="single" w:sz="4" w:space="0" w:color="auto"/>
              <w:bottom w:val="nil"/>
            </w:tcBorders>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R-squared</w:t>
            </w:r>
          </w:p>
        </w:tc>
        <w:tc>
          <w:tcPr>
            <w:tcW w:w="1350" w:type="dxa"/>
            <w:tcBorders>
              <w:top w:val="single" w:sz="4" w:space="0" w:color="auto"/>
              <w:bottom w:val="nil"/>
            </w:tcBorders>
          </w:tcPr>
          <w:p w:rsidR="00955C42" w:rsidRPr="002D0E3D" w:rsidRDefault="00955C42" w:rsidP="0043105F">
            <w:pPr>
              <w:cnfStyle w:val="000000000000"/>
              <w:rPr>
                <w:szCs w:val="24"/>
              </w:rPr>
            </w:pPr>
            <w:r w:rsidRPr="002D0E3D">
              <w:rPr>
                <w:szCs w:val="24"/>
              </w:rPr>
              <w:t>0.458884</w:t>
            </w:r>
          </w:p>
        </w:tc>
        <w:tc>
          <w:tcPr>
            <w:tcW w:w="1350" w:type="dxa"/>
            <w:tcBorders>
              <w:top w:val="single" w:sz="4" w:space="0" w:color="auto"/>
              <w:bottom w:val="nil"/>
            </w:tcBorders>
            <w:vAlign w:val="bottom"/>
          </w:tcPr>
          <w:p w:rsidR="00955C42" w:rsidRPr="002D0E3D" w:rsidRDefault="00955C42" w:rsidP="0043105F">
            <w:pPr>
              <w:autoSpaceDE w:val="0"/>
              <w:autoSpaceDN w:val="0"/>
              <w:adjustRightInd w:val="0"/>
              <w:ind w:right="10"/>
              <w:cnfStyle w:val="000000000000"/>
              <w:rPr>
                <w:color w:val="000000"/>
                <w:szCs w:val="24"/>
              </w:rPr>
            </w:pPr>
          </w:p>
        </w:tc>
        <w:tc>
          <w:tcPr>
            <w:tcW w:w="1350" w:type="dxa"/>
            <w:tcBorders>
              <w:top w:val="single" w:sz="4" w:space="0" w:color="auto"/>
              <w:bottom w:val="nil"/>
            </w:tcBorders>
            <w:vAlign w:val="bottom"/>
          </w:tcPr>
          <w:p w:rsidR="00955C42" w:rsidRPr="002D0E3D" w:rsidRDefault="00955C42" w:rsidP="0043105F">
            <w:pPr>
              <w:autoSpaceDE w:val="0"/>
              <w:autoSpaceDN w:val="0"/>
              <w:adjustRightInd w:val="0"/>
              <w:ind w:right="10"/>
              <w:cnfStyle w:val="000000000000"/>
              <w:rPr>
                <w:color w:val="000000"/>
                <w:szCs w:val="24"/>
              </w:rPr>
            </w:pPr>
          </w:p>
        </w:tc>
        <w:tc>
          <w:tcPr>
            <w:tcW w:w="1170" w:type="dxa"/>
            <w:tcBorders>
              <w:top w:val="single" w:sz="4" w:space="0" w:color="auto"/>
              <w:bottom w:val="nil"/>
            </w:tcBorders>
          </w:tcPr>
          <w:p w:rsidR="00955C42" w:rsidRPr="002D0E3D" w:rsidRDefault="00955C42" w:rsidP="0043105F">
            <w:pPr>
              <w:cnfStyle w:val="000000000000"/>
              <w:rPr>
                <w:szCs w:val="24"/>
              </w:rPr>
            </w:pPr>
          </w:p>
        </w:tc>
      </w:tr>
      <w:tr w:rsidR="00955C42" w:rsidTr="0043105F">
        <w:trPr>
          <w:cnfStyle w:val="000000100000"/>
          <w:trHeight w:val="406"/>
        </w:trPr>
        <w:tc>
          <w:tcPr>
            <w:cnfStyle w:val="001000000000"/>
            <w:tcW w:w="2088" w:type="dxa"/>
            <w:tcBorders>
              <w:top w:val="nil"/>
            </w:tcBorders>
            <w:shd w:val="clear" w:color="auto" w:fill="auto"/>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Adjusted R-squared</w:t>
            </w:r>
          </w:p>
        </w:tc>
        <w:tc>
          <w:tcPr>
            <w:tcW w:w="1350" w:type="dxa"/>
            <w:tcBorders>
              <w:top w:val="nil"/>
            </w:tcBorders>
            <w:shd w:val="clear" w:color="auto" w:fill="auto"/>
          </w:tcPr>
          <w:p w:rsidR="00955C42" w:rsidRPr="002D0E3D" w:rsidRDefault="00955C42" w:rsidP="0043105F">
            <w:pPr>
              <w:cnfStyle w:val="000000100000"/>
              <w:rPr>
                <w:szCs w:val="24"/>
              </w:rPr>
            </w:pPr>
            <w:r w:rsidRPr="002D0E3D">
              <w:rPr>
                <w:szCs w:val="24"/>
              </w:rPr>
              <w:t>0.425413</w:t>
            </w:r>
          </w:p>
        </w:tc>
        <w:tc>
          <w:tcPr>
            <w:tcW w:w="1350" w:type="dxa"/>
            <w:tcBorders>
              <w:top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350" w:type="dxa"/>
            <w:tcBorders>
              <w:top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170" w:type="dxa"/>
            <w:tcBorders>
              <w:top w:val="nil"/>
            </w:tcBorders>
            <w:shd w:val="clear" w:color="auto" w:fill="auto"/>
          </w:tcPr>
          <w:p w:rsidR="00955C42" w:rsidRPr="002D0E3D" w:rsidRDefault="00955C42" w:rsidP="0043105F">
            <w:pPr>
              <w:cnfStyle w:val="000000100000"/>
              <w:rPr>
                <w:szCs w:val="24"/>
              </w:rPr>
            </w:pPr>
          </w:p>
        </w:tc>
      </w:tr>
      <w:tr w:rsidR="00955C42" w:rsidTr="0043105F">
        <w:trPr>
          <w:trHeight w:val="406"/>
        </w:trPr>
        <w:tc>
          <w:tcPr>
            <w:cnfStyle w:val="001000000000"/>
            <w:tcW w:w="2088" w:type="dxa"/>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S.E. of regression</w:t>
            </w:r>
          </w:p>
        </w:tc>
        <w:tc>
          <w:tcPr>
            <w:tcW w:w="1350" w:type="dxa"/>
            <w:vAlign w:val="bottom"/>
          </w:tcPr>
          <w:p w:rsidR="00955C42" w:rsidRPr="002D0E3D" w:rsidRDefault="00955C42" w:rsidP="0043105F">
            <w:pPr>
              <w:autoSpaceDE w:val="0"/>
              <w:autoSpaceDN w:val="0"/>
              <w:adjustRightInd w:val="0"/>
              <w:ind w:right="10"/>
              <w:cnfStyle w:val="000000000000"/>
              <w:rPr>
                <w:color w:val="000000"/>
                <w:szCs w:val="24"/>
              </w:rPr>
            </w:pPr>
            <w:r w:rsidRPr="002D0E3D">
              <w:rPr>
                <w:color w:val="000000"/>
                <w:szCs w:val="24"/>
              </w:rPr>
              <w:t>0.332559</w:t>
            </w:r>
          </w:p>
        </w:tc>
        <w:tc>
          <w:tcPr>
            <w:tcW w:w="135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35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170" w:type="dxa"/>
          </w:tcPr>
          <w:p w:rsidR="00955C42" w:rsidRPr="002D0E3D" w:rsidRDefault="00955C42" w:rsidP="0043105F">
            <w:pPr>
              <w:cnfStyle w:val="000000000000"/>
              <w:rPr>
                <w:szCs w:val="24"/>
              </w:rPr>
            </w:pPr>
          </w:p>
        </w:tc>
      </w:tr>
      <w:tr w:rsidR="00955C42" w:rsidTr="0043105F">
        <w:trPr>
          <w:cnfStyle w:val="000000100000"/>
          <w:trHeight w:val="406"/>
        </w:trPr>
        <w:tc>
          <w:tcPr>
            <w:cnfStyle w:val="001000000000"/>
            <w:tcW w:w="2088" w:type="dxa"/>
            <w:shd w:val="clear" w:color="auto" w:fill="auto"/>
            <w:vAlign w:val="bottom"/>
          </w:tcPr>
          <w:p w:rsidR="00955C42" w:rsidRPr="002D0E3D" w:rsidRDefault="00955C42" w:rsidP="0043105F">
            <w:pPr>
              <w:autoSpaceDE w:val="0"/>
              <w:autoSpaceDN w:val="0"/>
              <w:adjustRightInd w:val="0"/>
              <w:rPr>
                <w:color w:val="000000"/>
                <w:szCs w:val="24"/>
              </w:rPr>
            </w:pPr>
            <w:r w:rsidRPr="002D0E3D">
              <w:rPr>
                <w:b w:val="0"/>
                <w:color w:val="000000"/>
                <w:szCs w:val="24"/>
              </w:rPr>
              <w:t>F-statistic</w:t>
            </w:r>
          </w:p>
        </w:tc>
        <w:tc>
          <w:tcPr>
            <w:tcW w:w="1350" w:type="dxa"/>
            <w:shd w:val="clear" w:color="auto" w:fill="auto"/>
          </w:tcPr>
          <w:p w:rsidR="00955C42" w:rsidRPr="002D0E3D" w:rsidRDefault="00955C42" w:rsidP="0043105F">
            <w:pPr>
              <w:cnfStyle w:val="000000100000"/>
              <w:rPr>
                <w:szCs w:val="24"/>
              </w:rPr>
            </w:pPr>
            <w:r w:rsidRPr="002D0E3D">
              <w:rPr>
                <w:szCs w:val="24"/>
              </w:rPr>
              <w:t>13.70985</w:t>
            </w:r>
          </w:p>
        </w:tc>
        <w:tc>
          <w:tcPr>
            <w:tcW w:w="1350" w:type="dxa"/>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350" w:type="dxa"/>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170" w:type="dxa"/>
            <w:shd w:val="clear" w:color="auto" w:fill="auto"/>
          </w:tcPr>
          <w:p w:rsidR="00955C42" w:rsidRPr="002D0E3D" w:rsidRDefault="00955C42" w:rsidP="0043105F">
            <w:pPr>
              <w:cnfStyle w:val="000000100000"/>
              <w:rPr>
                <w:szCs w:val="24"/>
              </w:rPr>
            </w:pPr>
          </w:p>
        </w:tc>
      </w:tr>
      <w:tr w:rsidR="00955C42" w:rsidTr="0043105F">
        <w:trPr>
          <w:trHeight w:val="406"/>
        </w:trPr>
        <w:tc>
          <w:tcPr>
            <w:cnfStyle w:val="001000000000"/>
            <w:tcW w:w="2088" w:type="dxa"/>
            <w:vAlign w:val="bottom"/>
          </w:tcPr>
          <w:p w:rsidR="00955C42" w:rsidRPr="002D0E3D" w:rsidRDefault="00955C42" w:rsidP="0043105F">
            <w:pPr>
              <w:autoSpaceDE w:val="0"/>
              <w:autoSpaceDN w:val="0"/>
              <w:adjustRightInd w:val="0"/>
              <w:rPr>
                <w:color w:val="000000"/>
                <w:szCs w:val="24"/>
              </w:rPr>
            </w:pPr>
            <w:proofErr w:type="spellStart"/>
            <w:r w:rsidRPr="002D0E3D">
              <w:rPr>
                <w:b w:val="0"/>
                <w:color w:val="000000"/>
                <w:szCs w:val="24"/>
              </w:rPr>
              <w:t>Prob</w:t>
            </w:r>
            <w:proofErr w:type="spellEnd"/>
            <w:r w:rsidRPr="002D0E3D">
              <w:rPr>
                <w:b w:val="0"/>
                <w:color w:val="000000"/>
                <w:szCs w:val="24"/>
              </w:rPr>
              <w:t>(F-statistic)</w:t>
            </w:r>
          </w:p>
        </w:tc>
        <w:tc>
          <w:tcPr>
            <w:tcW w:w="1350" w:type="dxa"/>
          </w:tcPr>
          <w:p w:rsidR="00955C42" w:rsidRPr="002D0E3D" w:rsidRDefault="00955C42" w:rsidP="0043105F">
            <w:pPr>
              <w:cnfStyle w:val="000000000000"/>
              <w:rPr>
                <w:szCs w:val="24"/>
              </w:rPr>
            </w:pPr>
            <w:r w:rsidRPr="002D0E3D">
              <w:rPr>
                <w:szCs w:val="24"/>
              </w:rPr>
              <w:t>0.0000*</w:t>
            </w:r>
          </w:p>
        </w:tc>
        <w:tc>
          <w:tcPr>
            <w:tcW w:w="135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350" w:type="dxa"/>
            <w:vAlign w:val="bottom"/>
          </w:tcPr>
          <w:p w:rsidR="00955C42" w:rsidRPr="002D0E3D" w:rsidRDefault="00955C42" w:rsidP="0043105F">
            <w:pPr>
              <w:autoSpaceDE w:val="0"/>
              <w:autoSpaceDN w:val="0"/>
              <w:adjustRightInd w:val="0"/>
              <w:ind w:right="10"/>
              <w:cnfStyle w:val="000000000000"/>
              <w:rPr>
                <w:color w:val="000000"/>
                <w:szCs w:val="24"/>
              </w:rPr>
            </w:pPr>
          </w:p>
        </w:tc>
        <w:tc>
          <w:tcPr>
            <w:tcW w:w="1170" w:type="dxa"/>
          </w:tcPr>
          <w:p w:rsidR="00955C42" w:rsidRPr="002D0E3D" w:rsidRDefault="00955C42" w:rsidP="0043105F">
            <w:pPr>
              <w:cnfStyle w:val="000000000000"/>
              <w:rPr>
                <w:szCs w:val="24"/>
              </w:rPr>
            </w:pPr>
          </w:p>
        </w:tc>
      </w:tr>
      <w:tr w:rsidR="00955C42" w:rsidTr="0043105F">
        <w:trPr>
          <w:cnfStyle w:val="000000100000"/>
          <w:trHeight w:val="406"/>
        </w:trPr>
        <w:tc>
          <w:tcPr>
            <w:cnfStyle w:val="001000000000"/>
            <w:tcW w:w="2088" w:type="dxa"/>
            <w:tcBorders>
              <w:bottom w:val="nil"/>
            </w:tcBorders>
            <w:shd w:val="clear" w:color="auto" w:fill="auto"/>
            <w:vAlign w:val="bottom"/>
          </w:tcPr>
          <w:p w:rsidR="00955C42" w:rsidRPr="002D0E3D" w:rsidRDefault="00955C42" w:rsidP="0043105F">
            <w:pPr>
              <w:autoSpaceDE w:val="0"/>
              <w:autoSpaceDN w:val="0"/>
              <w:adjustRightInd w:val="0"/>
              <w:ind w:right="10"/>
              <w:rPr>
                <w:color w:val="000000"/>
                <w:szCs w:val="24"/>
              </w:rPr>
            </w:pPr>
            <w:r w:rsidRPr="002D0E3D">
              <w:rPr>
                <w:b w:val="0"/>
                <w:color w:val="000000"/>
                <w:szCs w:val="24"/>
              </w:rPr>
              <w:t>Sum squared residual</w:t>
            </w:r>
          </w:p>
        </w:tc>
        <w:tc>
          <w:tcPr>
            <w:tcW w:w="1350" w:type="dxa"/>
            <w:tcBorders>
              <w:bottom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r w:rsidRPr="002D0E3D">
              <w:rPr>
                <w:color w:val="000000"/>
                <w:szCs w:val="24"/>
              </w:rPr>
              <w:t>10.72774</w:t>
            </w:r>
          </w:p>
        </w:tc>
        <w:tc>
          <w:tcPr>
            <w:tcW w:w="1350" w:type="dxa"/>
            <w:tcBorders>
              <w:bottom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350" w:type="dxa"/>
            <w:tcBorders>
              <w:bottom w:val="nil"/>
            </w:tcBorders>
            <w:shd w:val="clear" w:color="auto" w:fill="auto"/>
            <w:vAlign w:val="bottom"/>
          </w:tcPr>
          <w:p w:rsidR="00955C42" w:rsidRPr="002D0E3D" w:rsidRDefault="00955C42" w:rsidP="0043105F">
            <w:pPr>
              <w:autoSpaceDE w:val="0"/>
              <w:autoSpaceDN w:val="0"/>
              <w:adjustRightInd w:val="0"/>
              <w:ind w:right="10"/>
              <w:cnfStyle w:val="000000100000"/>
              <w:rPr>
                <w:color w:val="000000"/>
                <w:szCs w:val="24"/>
              </w:rPr>
            </w:pPr>
          </w:p>
        </w:tc>
        <w:tc>
          <w:tcPr>
            <w:tcW w:w="1170" w:type="dxa"/>
            <w:tcBorders>
              <w:bottom w:val="nil"/>
            </w:tcBorders>
            <w:shd w:val="clear" w:color="auto" w:fill="auto"/>
          </w:tcPr>
          <w:p w:rsidR="00955C42" w:rsidRPr="002D0E3D" w:rsidRDefault="00955C42" w:rsidP="0043105F">
            <w:pPr>
              <w:cnfStyle w:val="000000100000"/>
              <w:rPr>
                <w:szCs w:val="24"/>
              </w:rPr>
            </w:pPr>
          </w:p>
        </w:tc>
      </w:tr>
      <w:tr w:rsidR="00955C42" w:rsidTr="0043105F">
        <w:trPr>
          <w:trHeight w:val="406"/>
        </w:trPr>
        <w:tc>
          <w:tcPr>
            <w:cnfStyle w:val="001000000000"/>
            <w:tcW w:w="2088" w:type="dxa"/>
            <w:tcBorders>
              <w:top w:val="nil"/>
              <w:bottom w:val="single" w:sz="4" w:space="0" w:color="auto"/>
            </w:tcBorders>
            <w:vAlign w:val="bottom"/>
          </w:tcPr>
          <w:p w:rsidR="00955C42" w:rsidRPr="002D0E3D" w:rsidRDefault="00955C42" w:rsidP="0043105F">
            <w:pPr>
              <w:autoSpaceDE w:val="0"/>
              <w:autoSpaceDN w:val="0"/>
              <w:adjustRightInd w:val="0"/>
              <w:ind w:right="10"/>
              <w:rPr>
                <w:color w:val="000000"/>
                <w:szCs w:val="24"/>
              </w:rPr>
            </w:pPr>
            <w:r w:rsidRPr="002D0E3D">
              <w:rPr>
                <w:b w:val="0"/>
                <w:color w:val="000000"/>
                <w:szCs w:val="24"/>
              </w:rPr>
              <w:t> Durbin-Watson stat</w:t>
            </w:r>
          </w:p>
        </w:tc>
        <w:tc>
          <w:tcPr>
            <w:tcW w:w="1350" w:type="dxa"/>
            <w:tcBorders>
              <w:top w:val="nil"/>
              <w:bottom w:val="single" w:sz="4" w:space="0" w:color="auto"/>
            </w:tcBorders>
            <w:vAlign w:val="bottom"/>
          </w:tcPr>
          <w:p w:rsidR="00955C42" w:rsidRPr="002D0E3D" w:rsidRDefault="00955C42" w:rsidP="0043105F">
            <w:pPr>
              <w:autoSpaceDE w:val="0"/>
              <w:autoSpaceDN w:val="0"/>
              <w:adjustRightInd w:val="0"/>
              <w:ind w:right="10"/>
              <w:cnfStyle w:val="000000000000"/>
              <w:rPr>
                <w:color w:val="000000"/>
                <w:szCs w:val="24"/>
              </w:rPr>
            </w:pPr>
            <w:r w:rsidRPr="002D0E3D">
              <w:rPr>
                <w:color w:val="000000"/>
                <w:szCs w:val="24"/>
              </w:rPr>
              <w:t>2.438456</w:t>
            </w:r>
          </w:p>
        </w:tc>
        <w:tc>
          <w:tcPr>
            <w:tcW w:w="1350" w:type="dxa"/>
            <w:tcBorders>
              <w:top w:val="nil"/>
              <w:bottom w:val="single" w:sz="4" w:space="0" w:color="auto"/>
            </w:tcBorders>
            <w:vAlign w:val="bottom"/>
          </w:tcPr>
          <w:p w:rsidR="00955C42" w:rsidRPr="002D0E3D" w:rsidRDefault="00955C42" w:rsidP="0043105F">
            <w:pPr>
              <w:autoSpaceDE w:val="0"/>
              <w:autoSpaceDN w:val="0"/>
              <w:adjustRightInd w:val="0"/>
              <w:ind w:right="10"/>
              <w:cnfStyle w:val="000000000000"/>
              <w:rPr>
                <w:color w:val="000000"/>
                <w:szCs w:val="24"/>
              </w:rPr>
            </w:pPr>
          </w:p>
        </w:tc>
        <w:tc>
          <w:tcPr>
            <w:tcW w:w="1350" w:type="dxa"/>
            <w:tcBorders>
              <w:top w:val="nil"/>
              <w:bottom w:val="single" w:sz="4" w:space="0" w:color="auto"/>
            </w:tcBorders>
            <w:vAlign w:val="bottom"/>
          </w:tcPr>
          <w:p w:rsidR="00955C42" w:rsidRPr="002D0E3D" w:rsidRDefault="00955C42" w:rsidP="0043105F">
            <w:pPr>
              <w:autoSpaceDE w:val="0"/>
              <w:autoSpaceDN w:val="0"/>
              <w:adjustRightInd w:val="0"/>
              <w:ind w:right="10"/>
              <w:cnfStyle w:val="000000000000"/>
              <w:rPr>
                <w:color w:val="000000"/>
                <w:szCs w:val="24"/>
              </w:rPr>
            </w:pPr>
          </w:p>
        </w:tc>
        <w:tc>
          <w:tcPr>
            <w:tcW w:w="1170" w:type="dxa"/>
            <w:tcBorders>
              <w:top w:val="nil"/>
              <w:bottom w:val="single" w:sz="4" w:space="0" w:color="auto"/>
            </w:tcBorders>
          </w:tcPr>
          <w:p w:rsidR="00955C42" w:rsidRPr="002D0E3D" w:rsidRDefault="00955C42" w:rsidP="0043105F">
            <w:pPr>
              <w:cnfStyle w:val="000000000000"/>
              <w:rPr>
                <w:szCs w:val="24"/>
              </w:rPr>
            </w:pPr>
          </w:p>
        </w:tc>
      </w:tr>
    </w:tbl>
    <w:p w:rsidR="00955C42" w:rsidRPr="0036354B" w:rsidRDefault="00955C42" w:rsidP="00955C42">
      <w:pPr>
        <w:tabs>
          <w:tab w:val="left" w:pos="8220"/>
        </w:tabs>
        <w:spacing w:after="0" w:line="240" w:lineRule="auto"/>
        <w:contextualSpacing/>
        <w:rPr>
          <w:rFonts w:eastAsiaTheme="minorEastAsia"/>
          <w:i/>
          <w:sz w:val="24"/>
          <w:szCs w:val="24"/>
        </w:rPr>
      </w:pPr>
      <w:r w:rsidRPr="0036354B">
        <w:rPr>
          <w:rFonts w:eastAsiaTheme="minorEastAsia"/>
          <w:i/>
          <w:sz w:val="24"/>
          <w:szCs w:val="24"/>
        </w:rPr>
        <w:t>*p&lt;0.01</w:t>
      </w:r>
      <w:proofErr w:type="gramStart"/>
      <w:r w:rsidRPr="0036354B">
        <w:rPr>
          <w:rFonts w:eastAsiaTheme="minorEastAsia"/>
          <w:i/>
          <w:sz w:val="24"/>
          <w:szCs w:val="24"/>
        </w:rPr>
        <w:t>,*</w:t>
      </w:r>
      <w:proofErr w:type="gramEnd"/>
      <w:r w:rsidRPr="0036354B">
        <w:rPr>
          <w:rFonts w:eastAsiaTheme="minorEastAsia"/>
          <w:i/>
          <w:sz w:val="24"/>
          <w:szCs w:val="24"/>
        </w:rPr>
        <w:t>*p&lt;0.05</w:t>
      </w:r>
    </w:p>
    <w:p w:rsidR="00955C42" w:rsidRPr="00BE7142" w:rsidRDefault="00955C42" w:rsidP="00955C42">
      <w:pPr>
        <w:tabs>
          <w:tab w:val="left" w:pos="8220"/>
        </w:tabs>
        <w:spacing w:after="0" w:line="240" w:lineRule="auto"/>
        <w:contextualSpacing/>
        <w:rPr>
          <w:rFonts w:eastAsiaTheme="minorEastAsia"/>
          <w:b/>
          <w:i/>
          <w:sz w:val="24"/>
          <w:szCs w:val="24"/>
        </w:rPr>
      </w:pPr>
      <w:r w:rsidRPr="00BE7142">
        <w:rPr>
          <w:rFonts w:eastAsiaTheme="minorEastAsia"/>
          <w:b/>
          <w:i/>
          <w:sz w:val="24"/>
          <w:szCs w:val="24"/>
        </w:rPr>
        <w:t>Source: Author</w:t>
      </w:r>
    </w:p>
    <w:p w:rsidR="00955C42" w:rsidRPr="00BE7142" w:rsidRDefault="00955C42" w:rsidP="00955C42">
      <w:pPr>
        <w:tabs>
          <w:tab w:val="left" w:pos="8220"/>
        </w:tabs>
        <w:spacing w:after="0" w:line="240" w:lineRule="auto"/>
        <w:contextualSpacing/>
        <w:rPr>
          <w:rFonts w:eastAsiaTheme="minorEastAsia"/>
          <w:b/>
          <w:i/>
          <w:sz w:val="24"/>
          <w:szCs w:val="24"/>
        </w:rPr>
      </w:pPr>
    </w:p>
    <w:p w:rsidR="00955C42" w:rsidRPr="00BE7142" w:rsidRDefault="00955C42" w:rsidP="00955C42">
      <w:pPr>
        <w:tabs>
          <w:tab w:val="left" w:pos="8220"/>
        </w:tabs>
        <w:spacing w:after="0" w:line="240" w:lineRule="auto"/>
        <w:contextualSpacing/>
        <w:rPr>
          <w:rFonts w:eastAsiaTheme="minorEastAsia"/>
          <w:b/>
          <w:i/>
          <w:sz w:val="24"/>
          <w:szCs w:val="24"/>
        </w:rPr>
      </w:pPr>
      <w:r w:rsidRPr="00BE7142">
        <w:rPr>
          <w:rFonts w:eastAsiaTheme="minorEastAsia"/>
          <w:b/>
          <w:i/>
          <w:sz w:val="24"/>
          <w:szCs w:val="24"/>
        </w:rPr>
        <w:t>4.4.4.1Findings</w:t>
      </w:r>
    </w:p>
    <w:p w:rsidR="00955C42" w:rsidRPr="0036354B" w:rsidRDefault="00955C42" w:rsidP="00955C42">
      <w:pPr>
        <w:spacing w:after="0" w:line="240" w:lineRule="auto"/>
        <w:rPr>
          <w:sz w:val="24"/>
          <w:szCs w:val="24"/>
        </w:rPr>
      </w:pPr>
      <w:r w:rsidRPr="0036354B">
        <w:rPr>
          <w:rFonts w:eastAsiaTheme="minorEastAsia"/>
          <w:sz w:val="24"/>
          <w:szCs w:val="24"/>
        </w:rPr>
        <w:t>When considering the individual variables explanatory power, market return (</w:t>
      </w:r>
      <m:oMath>
        <m:sSub>
          <m:sSubPr>
            <m:ctrlPr>
              <w:rPr>
                <w:rFonts w:ascii="Cambria Math" w:hAnsi="Cambria Math"/>
                <w:bCs/>
                <w:i/>
                <w:color w:val="000000" w:themeColor="text1" w:themeShade="BF"/>
                <w:sz w:val="24"/>
                <w:szCs w:val="24"/>
              </w:rPr>
            </m:ctrlPr>
          </m:sSubPr>
          <m:e>
            <m:r>
              <w:rPr>
                <w:rFonts w:ascii="Cambria Math" w:hAnsi="Cambria Math"/>
                <w:sz w:val="24"/>
                <w:szCs w:val="24"/>
              </w:rPr>
              <m:t>R</m:t>
            </m:r>
          </m:e>
          <m:sub>
            <m:r>
              <w:rPr>
                <w:rFonts w:ascii="Cambria Math" w:hAnsi="Cambria Math"/>
                <w:sz w:val="24"/>
                <w:szCs w:val="24"/>
              </w:rPr>
              <m:t>mt</m:t>
            </m:r>
          </m:sub>
        </m:sSub>
      </m:oMath>
      <w:r w:rsidRPr="0036354B">
        <w:rPr>
          <w:sz w:val="24"/>
          <w:szCs w:val="24"/>
        </w:rPr>
        <w:t>) and bank income diversification (NNIM) are significant under conventional levels of significance in regression 01 and regression 02 (See Table 4.3 and Table 4.4)</w:t>
      </w:r>
      <w:r w:rsidRPr="0036354B">
        <w:rPr>
          <w:b/>
          <w:sz w:val="24"/>
          <w:szCs w:val="24"/>
        </w:rPr>
        <w:t>.</w:t>
      </w:r>
      <w:r w:rsidRPr="0036354B">
        <w:rPr>
          <w:rFonts w:eastAsiaTheme="minorEastAsia"/>
          <w:sz w:val="24"/>
          <w:szCs w:val="24"/>
        </w:rPr>
        <w:t xml:space="preserve"> The negative coefficients of market return (-0.483447 and </w:t>
      </w:r>
      <w:r w:rsidRPr="0036354B">
        <w:rPr>
          <w:sz w:val="24"/>
          <w:szCs w:val="24"/>
        </w:rPr>
        <w:t>-0.484124</w:t>
      </w:r>
      <w:r w:rsidRPr="0036354B">
        <w:rPr>
          <w:rFonts w:eastAsiaTheme="minorEastAsia"/>
          <w:sz w:val="24"/>
          <w:szCs w:val="24"/>
        </w:rPr>
        <w:t xml:space="preserve"> in regression 01 and</w:t>
      </w:r>
      <w:r w:rsidRPr="0036354B">
        <w:rPr>
          <w:sz w:val="24"/>
          <w:szCs w:val="24"/>
        </w:rPr>
        <w:t xml:space="preserve"> regression 02 respectively</w:t>
      </w:r>
      <w:proofErr w:type="gramStart"/>
      <w:r w:rsidRPr="0036354B">
        <w:rPr>
          <w:sz w:val="24"/>
          <w:szCs w:val="24"/>
        </w:rPr>
        <w:t>)are</w:t>
      </w:r>
      <w:proofErr w:type="gramEnd"/>
      <w:r w:rsidRPr="0036354B">
        <w:rPr>
          <w:sz w:val="24"/>
          <w:szCs w:val="24"/>
        </w:rPr>
        <w:t xml:space="preserve"> highly significant under 1% levels of significance in both regressions than other independent variables. Findings are complying with </w:t>
      </w:r>
      <w:proofErr w:type="spellStart"/>
      <w:r w:rsidRPr="0036354B">
        <w:rPr>
          <w:rFonts w:eastAsiaTheme="minorEastAsia"/>
          <w:sz w:val="24"/>
          <w:szCs w:val="24"/>
        </w:rPr>
        <w:t>Sens</w:t>
      </w:r>
      <w:r>
        <w:rPr>
          <w:rFonts w:eastAsiaTheme="minorEastAsia"/>
          <w:sz w:val="24"/>
          <w:szCs w:val="24"/>
        </w:rPr>
        <w:t>arma</w:t>
      </w:r>
      <w:proofErr w:type="spellEnd"/>
      <w:r>
        <w:rPr>
          <w:rFonts w:eastAsiaTheme="minorEastAsia"/>
          <w:sz w:val="24"/>
          <w:szCs w:val="24"/>
        </w:rPr>
        <w:t xml:space="preserve"> and </w:t>
      </w:r>
      <w:proofErr w:type="spellStart"/>
      <w:r>
        <w:rPr>
          <w:rFonts w:eastAsiaTheme="minorEastAsia"/>
          <w:sz w:val="24"/>
          <w:szCs w:val="24"/>
        </w:rPr>
        <w:t>Jayadev</w:t>
      </w:r>
      <w:proofErr w:type="spellEnd"/>
      <w:r>
        <w:rPr>
          <w:rFonts w:eastAsiaTheme="minorEastAsia"/>
          <w:sz w:val="24"/>
          <w:szCs w:val="24"/>
        </w:rPr>
        <w:t xml:space="preserve"> (2009), </w:t>
      </w:r>
      <w:proofErr w:type="spellStart"/>
      <w:r>
        <w:rPr>
          <w:rFonts w:eastAsiaTheme="minorEastAsia"/>
          <w:sz w:val="24"/>
          <w:szCs w:val="24"/>
        </w:rPr>
        <w:t>Fathi</w:t>
      </w:r>
      <w:proofErr w:type="spellEnd"/>
      <w:r>
        <w:rPr>
          <w:rFonts w:eastAsiaTheme="minorEastAsia"/>
          <w:sz w:val="24"/>
          <w:szCs w:val="24"/>
        </w:rPr>
        <w:t xml:space="preserve"> et al. </w:t>
      </w:r>
      <w:r w:rsidRPr="0036354B">
        <w:rPr>
          <w:rFonts w:eastAsiaTheme="minorEastAsia"/>
          <w:sz w:val="24"/>
          <w:szCs w:val="24"/>
        </w:rPr>
        <w:t>(2012)</w:t>
      </w:r>
      <w:r>
        <w:rPr>
          <w:rFonts w:eastAsiaTheme="minorEastAsia"/>
          <w:sz w:val="24"/>
          <w:szCs w:val="24"/>
        </w:rPr>
        <w:t>,</w:t>
      </w:r>
      <w:r w:rsidRPr="0036354B">
        <w:rPr>
          <w:rFonts w:eastAsiaTheme="minorEastAsia"/>
          <w:sz w:val="24"/>
          <w:szCs w:val="24"/>
        </w:rPr>
        <w:t xml:space="preserve"> and </w:t>
      </w:r>
      <w:proofErr w:type="spellStart"/>
      <w:r w:rsidRPr="0036354B">
        <w:rPr>
          <w:rFonts w:eastAsiaTheme="minorEastAsia"/>
          <w:sz w:val="24"/>
          <w:szCs w:val="24"/>
        </w:rPr>
        <w:t>Saeidi</w:t>
      </w:r>
      <w:proofErr w:type="spellEnd"/>
      <w:r w:rsidRPr="0036354B">
        <w:rPr>
          <w:rFonts w:eastAsiaTheme="minorEastAsia"/>
          <w:sz w:val="24"/>
          <w:szCs w:val="24"/>
        </w:rPr>
        <w:t xml:space="preserve"> and </w:t>
      </w:r>
      <w:proofErr w:type="spellStart"/>
      <w:r w:rsidRPr="0036354B">
        <w:rPr>
          <w:rFonts w:eastAsiaTheme="minorEastAsia"/>
          <w:sz w:val="24"/>
          <w:szCs w:val="24"/>
        </w:rPr>
        <w:t>Kamali</w:t>
      </w:r>
      <w:proofErr w:type="spellEnd"/>
      <w:r w:rsidRPr="0036354B">
        <w:rPr>
          <w:rFonts w:eastAsiaTheme="minorEastAsia"/>
          <w:sz w:val="24"/>
          <w:szCs w:val="24"/>
        </w:rPr>
        <w:t xml:space="preserve"> (2016). Thus, market return </w:t>
      </w:r>
      <m:oMath>
        <m:r>
          <w:rPr>
            <w:rFonts w:ascii="Cambria Math" w:eastAsiaTheme="minorEastAsia" w:hAnsi="Cambria Math"/>
            <w:sz w:val="24"/>
            <w:szCs w:val="24"/>
          </w:rPr>
          <m:t>(</m:t>
        </m:r>
        <m:sSub>
          <m:sSubPr>
            <m:ctrlPr>
              <w:rPr>
                <w:rFonts w:ascii="Cambria Math" w:hAnsi="Cambria Math"/>
                <w:bCs/>
                <w:i/>
                <w:color w:val="000000" w:themeColor="text1" w:themeShade="BF"/>
                <w:sz w:val="24"/>
                <w:szCs w:val="24"/>
              </w:rPr>
            </m:ctrlPr>
          </m:sSubPr>
          <m:e>
            <m:r>
              <w:rPr>
                <w:rFonts w:ascii="Cambria Math" w:hAnsi="Cambria Math"/>
                <w:sz w:val="24"/>
                <w:szCs w:val="24"/>
              </w:rPr>
              <m:t>R</m:t>
            </m:r>
          </m:e>
          <m:sub>
            <m:r>
              <w:rPr>
                <w:rFonts w:ascii="Cambria Math" w:hAnsi="Cambria Math"/>
                <w:sz w:val="24"/>
                <w:szCs w:val="24"/>
              </w:rPr>
              <m:t>m</m:t>
            </m:r>
          </m:sub>
        </m:sSub>
        <m:r>
          <w:rPr>
            <w:rFonts w:ascii="Cambria Math" w:hAnsi="Cambria Math"/>
            <w:color w:val="000000" w:themeColor="text1" w:themeShade="BF"/>
            <w:sz w:val="24"/>
            <w:szCs w:val="24"/>
          </w:rPr>
          <m:t xml:space="preserve">) </m:t>
        </m:r>
      </m:oMath>
      <w:r w:rsidRPr="0036354B">
        <w:rPr>
          <w:rFonts w:eastAsiaTheme="minorEastAsia"/>
          <w:sz w:val="24"/>
          <w:szCs w:val="24"/>
        </w:rPr>
        <w:t>being a highly significant independent variable than other independent variables, supports to the systematic risk argument</w:t>
      </w:r>
      <w:r w:rsidRPr="0036354B">
        <w:rPr>
          <w:color w:val="000000"/>
          <w:sz w:val="24"/>
          <w:szCs w:val="24"/>
        </w:rPr>
        <w:t xml:space="preserve"> of Sharpe </w:t>
      </w:r>
      <w:r>
        <w:rPr>
          <w:color w:val="000000"/>
          <w:sz w:val="24"/>
          <w:szCs w:val="24"/>
        </w:rPr>
        <w:t>(1964),</w:t>
      </w:r>
      <w:r w:rsidRPr="0036354B">
        <w:rPr>
          <w:color w:val="000000"/>
          <w:sz w:val="24"/>
          <w:szCs w:val="24"/>
        </w:rPr>
        <w:t xml:space="preserve"> Linter (1965) and </w:t>
      </w:r>
      <w:proofErr w:type="spellStart"/>
      <w:r w:rsidRPr="0036354B">
        <w:rPr>
          <w:color w:val="000000"/>
          <w:sz w:val="24"/>
          <w:szCs w:val="24"/>
        </w:rPr>
        <w:t>Fama</w:t>
      </w:r>
      <w:proofErr w:type="spellEnd"/>
      <w:r w:rsidRPr="0036354B">
        <w:rPr>
          <w:color w:val="000000"/>
          <w:sz w:val="24"/>
          <w:szCs w:val="24"/>
        </w:rPr>
        <w:t xml:space="preserve"> (1973) that </w:t>
      </w:r>
      <w:r w:rsidRPr="0036354B">
        <w:rPr>
          <w:rFonts w:eastAsiaTheme="minorEastAsia"/>
          <w:sz w:val="24"/>
          <w:szCs w:val="24"/>
        </w:rPr>
        <w:t>market return is a predictor of individual stock returns.</w:t>
      </w:r>
    </w:p>
    <w:p w:rsidR="00955C42" w:rsidRDefault="00955C42" w:rsidP="00955C42">
      <w:pPr>
        <w:spacing w:after="0" w:line="240" w:lineRule="auto"/>
        <w:rPr>
          <w:sz w:val="24"/>
          <w:szCs w:val="24"/>
        </w:rPr>
      </w:pPr>
    </w:p>
    <w:p w:rsidR="00955C42" w:rsidRPr="0036354B" w:rsidRDefault="00955C42" w:rsidP="00955C42">
      <w:pPr>
        <w:tabs>
          <w:tab w:val="left" w:pos="5940"/>
        </w:tabs>
        <w:spacing w:after="0" w:line="240" w:lineRule="auto"/>
        <w:rPr>
          <w:rFonts w:eastAsiaTheme="minorEastAsia"/>
          <w:sz w:val="24"/>
          <w:szCs w:val="24"/>
        </w:rPr>
      </w:pPr>
      <w:r w:rsidRPr="0036354B">
        <w:rPr>
          <w:sz w:val="24"/>
          <w:szCs w:val="24"/>
        </w:rPr>
        <w:t>Income diversification (NNIM) which generates income by avoiding risk as a natural hedging strategy also shows a significant variable to predict bank stock returns according to the results of regression</w:t>
      </w:r>
      <w:r>
        <w:rPr>
          <w:sz w:val="24"/>
          <w:szCs w:val="24"/>
        </w:rPr>
        <w:t xml:space="preserve"> </w:t>
      </w:r>
      <w:r w:rsidRPr="0036354B">
        <w:rPr>
          <w:sz w:val="24"/>
          <w:szCs w:val="24"/>
        </w:rPr>
        <w:t>01 and regression 02 (see Table 4.3 and Table 4.4). In both models, NNIM shows a positive coefficient and it indicates that increasing NNIM leads to increase return for shareholders.</w:t>
      </w:r>
      <w:r w:rsidRPr="0036354B">
        <w:rPr>
          <w:rFonts w:eastAsiaTheme="minorEastAsia"/>
          <w:sz w:val="24"/>
          <w:szCs w:val="24"/>
        </w:rPr>
        <w:t xml:space="preserve"> Further, banks that generate income from non-interest income </w:t>
      </w:r>
      <w:r w:rsidRPr="0036354B">
        <w:rPr>
          <w:rFonts w:eastAsiaTheme="minorEastAsia"/>
          <w:sz w:val="24"/>
          <w:szCs w:val="24"/>
        </w:rPr>
        <w:lastRenderedPageBreak/>
        <w:t xml:space="preserve">sources would actively involve bank income diversification and could be able to increase the return for shareholders. </w:t>
      </w:r>
      <w:r w:rsidRPr="0036354B">
        <w:rPr>
          <w:sz w:val="24"/>
          <w:szCs w:val="24"/>
        </w:rPr>
        <w:t xml:space="preserve">The findings of NNIM are contradictory to the results of </w:t>
      </w:r>
      <w:proofErr w:type="spellStart"/>
      <w:r w:rsidRPr="0036354B">
        <w:rPr>
          <w:rFonts w:eastAsiaTheme="minorEastAsia"/>
          <w:sz w:val="24"/>
          <w:szCs w:val="24"/>
        </w:rPr>
        <w:t>Saeidi</w:t>
      </w:r>
      <w:proofErr w:type="spellEnd"/>
      <w:r w:rsidRPr="0036354B">
        <w:rPr>
          <w:rFonts w:eastAsiaTheme="minorEastAsia"/>
          <w:sz w:val="24"/>
          <w:szCs w:val="24"/>
        </w:rPr>
        <w:t xml:space="preserve"> and </w:t>
      </w:r>
      <w:proofErr w:type="spellStart"/>
      <w:r w:rsidRPr="0036354B">
        <w:rPr>
          <w:rFonts w:eastAsiaTheme="minorEastAsia"/>
          <w:sz w:val="24"/>
          <w:szCs w:val="24"/>
        </w:rPr>
        <w:t>Kamali</w:t>
      </w:r>
      <w:proofErr w:type="spellEnd"/>
      <w:r w:rsidRPr="0036354B">
        <w:rPr>
          <w:rFonts w:eastAsiaTheme="minorEastAsia"/>
          <w:sz w:val="24"/>
          <w:szCs w:val="24"/>
        </w:rPr>
        <w:t xml:space="preserve"> (2016) for the</w:t>
      </w:r>
      <w:r w:rsidRPr="0036354B">
        <w:rPr>
          <w:sz w:val="24"/>
          <w:szCs w:val="24"/>
        </w:rPr>
        <w:t xml:space="preserve"> banks listed on Tehran Stock Exchange.</w:t>
      </w:r>
      <w:r w:rsidRPr="0036354B">
        <w:rPr>
          <w:rFonts w:eastAsiaTheme="minorEastAsia"/>
          <w:sz w:val="24"/>
          <w:szCs w:val="24"/>
        </w:rPr>
        <w:t xml:space="preserve"> </w:t>
      </w:r>
      <w:proofErr w:type="spellStart"/>
      <w:r w:rsidRPr="0036354B">
        <w:rPr>
          <w:rFonts w:eastAsiaTheme="minorEastAsia"/>
          <w:sz w:val="24"/>
          <w:szCs w:val="24"/>
        </w:rPr>
        <w:t>Saeidi</w:t>
      </w:r>
      <w:proofErr w:type="spellEnd"/>
      <w:r w:rsidRPr="0036354B">
        <w:rPr>
          <w:rFonts w:eastAsiaTheme="minorEastAsia"/>
          <w:sz w:val="24"/>
          <w:szCs w:val="24"/>
        </w:rPr>
        <w:t xml:space="preserve"> and </w:t>
      </w:r>
      <w:proofErr w:type="spellStart"/>
      <w:r w:rsidRPr="0036354B">
        <w:rPr>
          <w:rFonts w:eastAsiaTheme="minorEastAsia"/>
          <w:sz w:val="24"/>
          <w:szCs w:val="24"/>
        </w:rPr>
        <w:t>Kamali</w:t>
      </w:r>
      <w:proofErr w:type="spellEnd"/>
      <w:r w:rsidRPr="0036354B">
        <w:rPr>
          <w:rFonts w:eastAsiaTheme="minorEastAsia"/>
          <w:sz w:val="24"/>
          <w:szCs w:val="24"/>
        </w:rPr>
        <w:t xml:space="preserve"> (2016) </w:t>
      </w:r>
      <w:r w:rsidRPr="0036354B">
        <w:rPr>
          <w:sz w:val="24"/>
          <w:szCs w:val="24"/>
        </w:rPr>
        <w:t xml:space="preserve">found positive and insignificant relationships for NNIM with bank ROE. And the study findings </w:t>
      </w:r>
      <w:proofErr w:type="spellStart"/>
      <w:r w:rsidRPr="0036354B">
        <w:rPr>
          <w:sz w:val="24"/>
          <w:szCs w:val="24"/>
        </w:rPr>
        <w:t>onNNIM</w:t>
      </w:r>
      <w:proofErr w:type="spellEnd"/>
      <w:r w:rsidRPr="0036354B">
        <w:rPr>
          <w:sz w:val="24"/>
          <w:szCs w:val="24"/>
        </w:rPr>
        <w:t xml:space="preserve"> are also contradictory to the findings of </w:t>
      </w:r>
      <w:proofErr w:type="spellStart"/>
      <w:r w:rsidRPr="0036354B">
        <w:rPr>
          <w:rFonts w:eastAsiaTheme="minorEastAsia"/>
          <w:sz w:val="24"/>
          <w:szCs w:val="24"/>
        </w:rPr>
        <w:t>Sensarma</w:t>
      </w:r>
      <w:proofErr w:type="spellEnd"/>
      <w:r w:rsidRPr="0036354B">
        <w:rPr>
          <w:rFonts w:eastAsiaTheme="minorEastAsia"/>
          <w:sz w:val="24"/>
          <w:szCs w:val="24"/>
        </w:rPr>
        <w:t xml:space="preserve"> and </w:t>
      </w:r>
      <w:proofErr w:type="spellStart"/>
      <w:r w:rsidRPr="0036354B">
        <w:rPr>
          <w:rFonts w:eastAsiaTheme="minorEastAsia"/>
          <w:sz w:val="24"/>
          <w:szCs w:val="24"/>
        </w:rPr>
        <w:t>Jayadev</w:t>
      </w:r>
      <w:proofErr w:type="spellEnd"/>
      <w:r w:rsidRPr="0036354B">
        <w:rPr>
          <w:rFonts w:eastAsiaTheme="minorEastAsia"/>
          <w:sz w:val="24"/>
          <w:szCs w:val="24"/>
        </w:rPr>
        <w:t xml:space="preserve"> (2009) relating to Indian listed banks where they found</w:t>
      </w:r>
      <w:r w:rsidRPr="0036354B">
        <w:rPr>
          <w:sz w:val="24"/>
          <w:szCs w:val="24"/>
        </w:rPr>
        <w:t xml:space="preserve"> an insignificant impact</w:t>
      </w:r>
      <w:r w:rsidRPr="0036354B">
        <w:rPr>
          <w:rFonts w:eastAsiaTheme="minorEastAsia"/>
          <w:sz w:val="24"/>
          <w:szCs w:val="24"/>
        </w:rPr>
        <w:t xml:space="preserve">. Furthermore, findings complying with </w:t>
      </w:r>
      <w:proofErr w:type="spellStart"/>
      <w:r w:rsidRPr="0036354B">
        <w:rPr>
          <w:rFonts w:eastAsiaTheme="minorEastAsia"/>
          <w:sz w:val="24"/>
          <w:szCs w:val="24"/>
        </w:rPr>
        <w:t>Teimet</w:t>
      </w:r>
      <w:proofErr w:type="spellEnd"/>
      <w:r w:rsidRPr="0036354B">
        <w:rPr>
          <w:rFonts w:eastAsiaTheme="minorEastAsia"/>
          <w:sz w:val="24"/>
          <w:szCs w:val="24"/>
        </w:rPr>
        <w:t xml:space="preserve"> et al. (2011), </w:t>
      </w:r>
      <w:proofErr w:type="spellStart"/>
      <w:r w:rsidRPr="0036354B">
        <w:rPr>
          <w:rFonts w:eastAsiaTheme="minorEastAsia"/>
          <w:sz w:val="24"/>
          <w:szCs w:val="24"/>
        </w:rPr>
        <w:t>Amediku</w:t>
      </w:r>
      <w:proofErr w:type="spellEnd"/>
      <w:r w:rsidRPr="0036354B">
        <w:rPr>
          <w:rFonts w:eastAsiaTheme="minorEastAsia"/>
          <w:sz w:val="24"/>
          <w:szCs w:val="24"/>
        </w:rPr>
        <w:t xml:space="preserve"> (2012)</w:t>
      </w:r>
      <w:r>
        <w:rPr>
          <w:rFonts w:eastAsiaTheme="minorEastAsia"/>
          <w:sz w:val="24"/>
          <w:szCs w:val="24"/>
        </w:rPr>
        <w:t>,</w:t>
      </w:r>
      <w:r w:rsidRPr="0036354B">
        <w:rPr>
          <w:rFonts w:eastAsiaTheme="minorEastAsia"/>
          <w:sz w:val="24"/>
          <w:szCs w:val="24"/>
        </w:rPr>
        <w:t xml:space="preserve"> Ismail et al. (2015)</w:t>
      </w:r>
      <w:r>
        <w:rPr>
          <w:rFonts w:eastAsiaTheme="minorEastAsia"/>
          <w:sz w:val="24"/>
          <w:szCs w:val="24"/>
        </w:rPr>
        <w:t xml:space="preserve"> </w:t>
      </w:r>
      <w:r w:rsidRPr="0036354B">
        <w:rPr>
          <w:rFonts w:eastAsiaTheme="minorEastAsia"/>
          <w:sz w:val="24"/>
          <w:szCs w:val="24"/>
        </w:rPr>
        <w:t xml:space="preserve">and  </w:t>
      </w:r>
      <w:proofErr w:type="spellStart"/>
      <w:r w:rsidRPr="0036354B">
        <w:rPr>
          <w:rFonts w:eastAsiaTheme="minorEastAsia"/>
          <w:sz w:val="24"/>
          <w:szCs w:val="24"/>
        </w:rPr>
        <w:t>Wijethilaka</w:t>
      </w:r>
      <w:proofErr w:type="spellEnd"/>
      <w:r w:rsidRPr="0036354B">
        <w:rPr>
          <w:rFonts w:eastAsiaTheme="minorEastAsia"/>
          <w:sz w:val="24"/>
          <w:szCs w:val="24"/>
        </w:rPr>
        <w:t xml:space="preserve"> (2015) where they found a positive relationship between noninterest income and bank performance</w:t>
      </w:r>
    </w:p>
    <w:p w:rsidR="00955C42" w:rsidRDefault="00955C42" w:rsidP="00955C42">
      <w:pPr>
        <w:spacing w:after="0" w:line="240" w:lineRule="auto"/>
        <w:rPr>
          <w:rFonts w:eastAsiaTheme="minorEastAsia"/>
          <w:sz w:val="24"/>
          <w:szCs w:val="24"/>
        </w:rPr>
      </w:pPr>
    </w:p>
    <w:p w:rsidR="00955C42" w:rsidRPr="0036354B" w:rsidRDefault="00955C42" w:rsidP="00955C42">
      <w:pPr>
        <w:spacing w:after="0" w:line="240" w:lineRule="auto"/>
        <w:rPr>
          <w:rFonts w:eastAsiaTheme="minorEastAsia"/>
          <w:sz w:val="24"/>
          <w:szCs w:val="24"/>
        </w:rPr>
      </w:pPr>
      <w:r w:rsidRPr="0036354B">
        <w:rPr>
          <w:rFonts w:eastAsiaTheme="minorEastAsia"/>
          <w:sz w:val="24"/>
          <w:szCs w:val="24"/>
        </w:rPr>
        <w:t xml:space="preserve">The positive </w:t>
      </w:r>
      <w:proofErr w:type="gramStart"/>
      <w:r w:rsidRPr="0036354B">
        <w:rPr>
          <w:rFonts w:eastAsiaTheme="minorEastAsia"/>
          <w:sz w:val="24"/>
          <w:szCs w:val="24"/>
        </w:rPr>
        <w:t>relationship between NETIM and bank stock returns as per the findings of both regressions (see Table 01 and 02) are</w:t>
      </w:r>
      <w:proofErr w:type="gramEnd"/>
      <w:r w:rsidRPr="0036354B">
        <w:rPr>
          <w:rFonts w:eastAsiaTheme="minorEastAsia"/>
          <w:sz w:val="24"/>
          <w:szCs w:val="24"/>
        </w:rPr>
        <w:t xml:space="preserve"> an insignificant predictor of bank stock returns. But the result of interest rate risk management capability (NETIM) is contradictory with </w:t>
      </w:r>
      <w:proofErr w:type="spellStart"/>
      <w:r>
        <w:rPr>
          <w:rFonts w:eastAsiaTheme="minorEastAsia"/>
          <w:sz w:val="24"/>
          <w:szCs w:val="24"/>
        </w:rPr>
        <w:t>Fathi</w:t>
      </w:r>
      <w:proofErr w:type="spellEnd"/>
      <w:r>
        <w:rPr>
          <w:rFonts w:eastAsiaTheme="minorEastAsia"/>
          <w:sz w:val="24"/>
          <w:szCs w:val="24"/>
        </w:rPr>
        <w:t xml:space="preserve"> et al. </w:t>
      </w:r>
      <w:r w:rsidRPr="0036354B">
        <w:rPr>
          <w:rFonts w:eastAsiaTheme="minorEastAsia"/>
          <w:sz w:val="24"/>
          <w:szCs w:val="24"/>
        </w:rPr>
        <w:t xml:space="preserve">(2012) where they found a positive and significant coefficient for NETIM with bank ROE. However, the findings are complying </w:t>
      </w:r>
      <w:proofErr w:type="gramStart"/>
      <w:r w:rsidRPr="0036354B">
        <w:rPr>
          <w:rFonts w:eastAsiaTheme="minorEastAsia"/>
          <w:sz w:val="24"/>
          <w:szCs w:val="24"/>
        </w:rPr>
        <w:t xml:space="preserve">with  </w:t>
      </w:r>
      <w:proofErr w:type="spellStart"/>
      <w:r w:rsidRPr="0036354B">
        <w:rPr>
          <w:rFonts w:eastAsiaTheme="minorEastAsia"/>
          <w:sz w:val="24"/>
          <w:szCs w:val="24"/>
        </w:rPr>
        <w:t>Saeidi</w:t>
      </w:r>
      <w:proofErr w:type="spellEnd"/>
      <w:proofErr w:type="gramEnd"/>
      <w:r w:rsidRPr="0036354B">
        <w:rPr>
          <w:rFonts w:eastAsiaTheme="minorEastAsia"/>
          <w:sz w:val="24"/>
          <w:szCs w:val="24"/>
        </w:rPr>
        <w:t xml:space="preserve"> and </w:t>
      </w:r>
      <w:proofErr w:type="spellStart"/>
      <w:r w:rsidRPr="0036354B">
        <w:rPr>
          <w:rFonts w:eastAsiaTheme="minorEastAsia"/>
          <w:sz w:val="24"/>
          <w:szCs w:val="24"/>
        </w:rPr>
        <w:t>Kamali</w:t>
      </w:r>
      <w:proofErr w:type="spellEnd"/>
      <w:r w:rsidRPr="0036354B">
        <w:rPr>
          <w:rFonts w:eastAsiaTheme="minorEastAsia"/>
          <w:sz w:val="24"/>
          <w:szCs w:val="24"/>
        </w:rPr>
        <w:t xml:space="preserve"> (2016) and </w:t>
      </w:r>
      <w:proofErr w:type="spellStart"/>
      <w:r w:rsidRPr="0036354B">
        <w:rPr>
          <w:rFonts w:eastAsiaTheme="minorEastAsia"/>
          <w:sz w:val="24"/>
          <w:szCs w:val="24"/>
        </w:rPr>
        <w:t>Sensarma</w:t>
      </w:r>
      <w:proofErr w:type="spellEnd"/>
      <w:r w:rsidRPr="0036354B">
        <w:rPr>
          <w:rFonts w:eastAsiaTheme="minorEastAsia"/>
          <w:sz w:val="24"/>
          <w:szCs w:val="24"/>
        </w:rPr>
        <w:t xml:space="preserve"> and </w:t>
      </w:r>
      <w:proofErr w:type="spellStart"/>
      <w:r w:rsidRPr="0036354B">
        <w:rPr>
          <w:rFonts w:eastAsiaTheme="minorEastAsia"/>
          <w:sz w:val="24"/>
          <w:szCs w:val="24"/>
        </w:rPr>
        <w:t>Jayadev</w:t>
      </w:r>
      <w:proofErr w:type="spellEnd"/>
      <w:r w:rsidRPr="0036354B">
        <w:rPr>
          <w:rFonts w:eastAsiaTheme="minorEastAsia"/>
          <w:sz w:val="24"/>
          <w:szCs w:val="24"/>
        </w:rPr>
        <w:t xml:space="preserve"> (2009).</w:t>
      </w:r>
    </w:p>
    <w:p w:rsidR="00955C42" w:rsidRDefault="00955C42" w:rsidP="00955C42">
      <w:pPr>
        <w:spacing w:after="0" w:line="240" w:lineRule="auto"/>
        <w:rPr>
          <w:sz w:val="24"/>
          <w:szCs w:val="24"/>
        </w:rPr>
      </w:pPr>
    </w:p>
    <w:p w:rsidR="00955C42" w:rsidRPr="0036354B" w:rsidRDefault="00955C42" w:rsidP="00955C42">
      <w:pPr>
        <w:spacing w:after="0" w:line="240" w:lineRule="auto"/>
        <w:rPr>
          <w:rFonts w:eastAsiaTheme="minorEastAsia"/>
          <w:sz w:val="24"/>
          <w:szCs w:val="24"/>
        </w:rPr>
      </w:pPr>
      <w:r w:rsidRPr="0036354B">
        <w:rPr>
          <w:sz w:val="24"/>
          <w:szCs w:val="24"/>
        </w:rPr>
        <w:t>The finding of credit risk management capability (PROV) differs in regression 01 and regression 02. PROV shows a positive coefficient in regression 01(see Table 4.3) and a negative coefficient in regression 02 (see Table 4.4), but both relationships are insignificant. The positive relationship in regression 01(0.164109)implies that increasing provisions leads to decreases credit risk management capability and finally increases the bank stock returns (</w:t>
      </w:r>
      <w:proofErr w:type="spellStart"/>
      <w:r w:rsidRPr="0036354B">
        <w:rPr>
          <w:sz w:val="24"/>
          <w:szCs w:val="24"/>
        </w:rPr>
        <w:t>i.e</w:t>
      </w:r>
      <w:proofErr w:type="spellEnd"/>
      <w:r w:rsidRPr="0036354B">
        <w:rPr>
          <w:sz w:val="24"/>
          <w:szCs w:val="24"/>
        </w:rPr>
        <w:t xml:space="preserve"> the argument in the study is increasing PROV course to decrease ROE thereby decreases the credit risk management capability). Therefore, such finding is contradictory to the Du Pont argument which provides the theoretical justifications for PROV as an independent variable in the study. However, the result on PROV in regression 01 is conforming </w:t>
      </w:r>
      <w:proofErr w:type="gramStart"/>
      <w:r w:rsidRPr="0036354B">
        <w:rPr>
          <w:sz w:val="24"/>
          <w:szCs w:val="24"/>
        </w:rPr>
        <w:t>with</w:t>
      </w:r>
      <w:proofErr w:type="gramEnd"/>
      <w:r w:rsidRPr="0036354B">
        <w:rPr>
          <w:sz w:val="24"/>
          <w:szCs w:val="24"/>
        </w:rPr>
        <w:t xml:space="preserve"> </w:t>
      </w:r>
      <w:proofErr w:type="spellStart"/>
      <w:r w:rsidRPr="0036354B">
        <w:rPr>
          <w:rFonts w:eastAsiaTheme="minorEastAsia"/>
          <w:sz w:val="24"/>
          <w:szCs w:val="24"/>
        </w:rPr>
        <w:t>Sensarma</w:t>
      </w:r>
      <w:proofErr w:type="spellEnd"/>
      <w:r w:rsidRPr="0036354B">
        <w:rPr>
          <w:rFonts w:eastAsiaTheme="minorEastAsia"/>
          <w:sz w:val="24"/>
          <w:szCs w:val="24"/>
        </w:rPr>
        <w:t xml:space="preserve"> and </w:t>
      </w:r>
      <w:proofErr w:type="spellStart"/>
      <w:r w:rsidRPr="0036354B">
        <w:rPr>
          <w:rFonts w:eastAsiaTheme="minorEastAsia"/>
          <w:sz w:val="24"/>
          <w:szCs w:val="24"/>
        </w:rPr>
        <w:t>Jayadev</w:t>
      </w:r>
      <w:proofErr w:type="spellEnd"/>
      <w:r w:rsidRPr="0036354B">
        <w:rPr>
          <w:rFonts w:eastAsiaTheme="minorEastAsia"/>
          <w:sz w:val="24"/>
          <w:szCs w:val="24"/>
        </w:rPr>
        <w:t xml:space="preserve"> (2009) and </w:t>
      </w:r>
      <w:proofErr w:type="spellStart"/>
      <w:r w:rsidRPr="0036354B">
        <w:rPr>
          <w:rFonts w:eastAsiaTheme="minorEastAsia"/>
          <w:sz w:val="24"/>
          <w:szCs w:val="24"/>
        </w:rPr>
        <w:t>Saeidi</w:t>
      </w:r>
      <w:proofErr w:type="spellEnd"/>
      <w:r w:rsidRPr="0036354B">
        <w:rPr>
          <w:rFonts w:eastAsiaTheme="minorEastAsia"/>
          <w:sz w:val="24"/>
          <w:szCs w:val="24"/>
        </w:rPr>
        <w:t xml:space="preserve"> and </w:t>
      </w:r>
      <w:proofErr w:type="spellStart"/>
      <w:r w:rsidRPr="0036354B">
        <w:rPr>
          <w:rFonts w:eastAsiaTheme="minorEastAsia"/>
          <w:sz w:val="24"/>
          <w:szCs w:val="24"/>
        </w:rPr>
        <w:t>Kamali</w:t>
      </w:r>
      <w:proofErr w:type="spellEnd"/>
      <w:r w:rsidRPr="0036354B">
        <w:rPr>
          <w:rFonts w:eastAsiaTheme="minorEastAsia"/>
          <w:sz w:val="24"/>
          <w:szCs w:val="24"/>
        </w:rPr>
        <w:t xml:space="preserve"> (2016) where they also found positive coefficients for PROV. According to the findings of regression 02 (see Table 4.4) the coefficient of PROV is negative (-0.12546), which implies that decreasing provisions course to increase credit risk management capability and ultimately to increase the bank stock returns complying with the Du Pont argument. The coefficient of PROV become negative in regression 02 due to introduction of controlling variable of firm size (TA) to the model which leads to increase in the model explanatory power and make the analysis more reliable. </w:t>
      </w:r>
    </w:p>
    <w:p w:rsidR="00955C42" w:rsidRDefault="00955C42" w:rsidP="00955C42">
      <w:pPr>
        <w:spacing w:after="0" w:line="240" w:lineRule="auto"/>
        <w:rPr>
          <w:rFonts w:eastAsiaTheme="minorEastAsia"/>
          <w:sz w:val="24"/>
          <w:szCs w:val="24"/>
        </w:rPr>
      </w:pPr>
    </w:p>
    <w:p w:rsidR="00955C42" w:rsidRPr="0036354B" w:rsidRDefault="00955C42" w:rsidP="00955C42">
      <w:pPr>
        <w:spacing w:after="0" w:line="240" w:lineRule="auto"/>
        <w:rPr>
          <w:rFonts w:eastAsiaTheme="minorEastAsia"/>
          <w:sz w:val="24"/>
          <w:szCs w:val="24"/>
        </w:rPr>
      </w:pPr>
      <w:r w:rsidRPr="0036354B">
        <w:rPr>
          <w:rFonts w:eastAsiaTheme="minorEastAsia"/>
          <w:sz w:val="24"/>
          <w:szCs w:val="24"/>
        </w:rPr>
        <w:t>The coefficient of solvency risk management capability measured by capital to assets ratios (CAR) in regression 01 and regression 02 is also insignificant. However, both regressions show negative coefficient values (</w:t>
      </w:r>
      <w:r w:rsidRPr="0036354B">
        <w:rPr>
          <w:sz w:val="24"/>
          <w:szCs w:val="24"/>
        </w:rPr>
        <w:t xml:space="preserve">-0.129358 and -0.13350 respectively in regression 01 and regression 02) for CAR. Indeed, increasing solvency risk management capability decreases the return for </w:t>
      </w:r>
      <w:proofErr w:type="gramStart"/>
      <w:r w:rsidRPr="0036354B">
        <w:rPr>
          <w:sz w:val="24"/>
          <w:szCs w:val="24"/>
        </w:rPr>
        <w:t>shareholders,</w:t>
      </w:r>
      <w:proofErr w:type="gramEnd"/>
      <w:r w:rsidRPr="0036354B">
        <w:rPr>
          <w:sz w:val="24"/>
          <w:szCs w:val="24"/>
        </w:rPr>
        <w:t xml:space="preserve"> supporting the Du Pont argument that the higher capital to assets ratio (lower equity multiplier) reduces ROE thereby decreases the return for shareholders. However</w:t>
      </w:r>
      <w:proofErr w:type="gramStart"/>
      <w:r w:rsidRPr="0036354B">
        <w:rPr>
          <w:sz w:val="24"/>
          <w:szCs w:val="24"/>
        </w:rPr>
        <w:t xml:space="preserve">,  </w:t>
      </w:r>
      <w:proofErr w:type="spellStart"/>
      <w:r w:rsidRPr="0036354B">
        <w:rPr>
          <w:rFonts w:eastAsiaTheme="minorEastAsia"/>
          <w:sz w:val="24"/>
          <w:szCs w:val="24"/>
        </w:rPr>
        <w:t>Sensarma</w:t>
      </w:r>
      <w:proofErr w:type="spellEnd"/>
      <w:proofErr w:type="gramEnd"/>
      <w:r w:rsidRPr="0036354B">
        <w:rPr>
          <w:rFonts w:eastAsiaTheme="minorEastAsia"/>
          <w:sz w:val="24"/>
          <w:szCs w:val="24"/>
        </w:rPr>
        <w:t xml:space="preserve"> and </w:t>
      </w:r>
      <w:proofErr w:type="spellStart"/>
      <w:r w:rsidRPr="0036354B">
        <w:rPr>
          <w:rFonts w:eastAsiaTheme="minorEastAsia"/>
          <w:sz w:val="24"/>
          <w:szCs w:val="24"/>
        </w:rPr>
        <w:t>Jayadev</w:t>
      </w:r>
      <w:proofErr w:type="spellEnd"/>
      <w:r w:rsidRPr="0036354B">
        <w:rPr>
          <w:rFonts w:eastAsiaTheme="minorEastAsia"/>
          <w:sz w:val="24"/>
          <w:szCs w:val="24"/>
        </w:rPr>
        <w:t xml:space="preserve"> (2009) found a positive significant coefficient between CAR  and bank stock returns in Indian listed banks. </w:t>
      </w:r>
      <w:proofErr w:type="spellStart"/>
      <w:r w:rsidRPr="0036354B">
        <w:rPr>
          <w:rFonts w:eastAsiaTheme="minorEastAsia"/>
          <w:sz w:val="24"/>
          <w:szCs w:val="24"/>
        </w:rPr>
        <w:t>Saeidi</w:t>
      </w:r>
      <w:proofErr w:type="spellEnd"/>
      <w:r w:rsidRPr="0036354B">
        <w:rPr>
          <w:rFonts w:eastAsiaTheme="minorEastAsia"/>
          <w:sz w:val="24"/>
          <w:szCs w:val="24"/>
        </w:rPr>
        <w:t xml:space="preserve"> and </w:t>
      </w:r>
      <w:proofErr w:type="spellStart"/>
      <w:r w:rsidRPr="0036354B">
        <w:rPr>
          <w:rFonts w:eastAsiaTheme="minorEastAsia"/>
          <w:sz w:val="24"/>
          <w:szCs w:val="24"/>
        </w:rPr>
        <w:t>Kamali</w:t>
      </w:r>
      <w:proofErr w:type="spellEnd"/>
      <w:r w:rsidRPr="0036354B">
        <w:rPr>
          <w:rFonts w:eastAsiaTheme="minorEastAsia"/>
          <w:sz w:val="24"/>
          <w:szCs w:val="24"/>
        </w:rPr>
        <w:t xml:space="preserve"> (2016) also found a positive significant coefficient between solvency risk management capability (</w:t>
      </w:r>
      <w:proofErr w:type="gramStart"/>
      <w:r w:rsidRPr="0036354B">
        <w:rPr>
          <w:rFonts w:eastAsiaTheme="minorEastAsia"/>
          <w:sz w:val="24"/>
          <w:szCs w:val="24"/>
        </w:rPr>
        <w:t>CAR )</w:t>
      </w:r>
      <w:proofErr w:type="gramEnd"/>
      <w:r w:rsidRPr="0036354B">
        <w:rPr>
          <w:rFonts w:eastAsiaTheme="minorEastAsia"/>
          <w:sz w:val="24"/>
          <w:szCs w:val="24"/>
        </w:rPr>
        <w:t xml:space="preserve"> and ROE.</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lastRenderedPageBreak/>
        <w:t xml:space="preserve">According to the results of regression 02 which controlled for the firm size impact, the positive coefficient of TA (0.011416) is also an insignificant variable to predict bank stock returns. Such contradictory findings to </w:t>
      </w:r>
      <w:r w:rsidRPr="0036354B">
        <w:rPr>
          <w:color w:val="222222"/>
          <w:sz w:val="24"/>
          <w:szCs w:val="24"/>
          <w:shd w:val="clear" w:color="auto" w:fill="FFFFFF"/>
        </w:rPr>
        <w:t xml:space="preserve">Barber and Lyon (1997) may be due to the use of a small sample of 08 banks (due to the unavailability of required data for the sample period). </w:t>
      </w:r>
      <w:r w:rsidRPr="0036354B">
        <w:rPr>
          <w:sz w:val="24"/>
          <w:szCs w:val="24"/>
        </w:rPr>
        <w:t xml:space="preserve">Moreover, the introduction of </w:t>
      </w:r>
      <w:proofErr w:type="gramStart"/>
      <w:r w:rsidRPr="0036354B">
        <w:rPr>
          <w:sz w:val="24"/>
          <w:szCs w:val="24"/>
        </w:rPr>
        <w:t>TA(</w:t>
      </w:r>
      <w:proofErr w:type="gramEnd"/>
      <w:r w:rsidRPr="0036354B">
        <w:rPr>
          <w:sz w:val="24"/>
          <w:szCs w:val="24"/>
        </w:rPr>
        <w:t>firm size)  as a control variable to the regression does not highly impact the original results given in Table 4.3, regression 01. Indeed, none of the independent variables which previously became insignificant in regression 01 become significant in regression 02.  According to the findings of regression 01 and 02, market return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mt</m:t>
            </m:r>
          </m:sub>
        </m:sSub>
      </m:oMath>
      <w:r w:rsidRPr="0036354B">
        <w:rPr>
          <w:sz w:val="24"/>
          <w:szCs w:val="24"/>
        </w:rPr>
        <w:t xml:space="preserve">) and NNIM (bank income diversification) are the only variables which are having significant association with bank stock returns. However, the </w:t>
      </w:r>
      <w:proofErr w:type="gramStart"/>
      <w:r w:rsidRPr="0036354B">
        <w:rPr>
          <w:sz w:val="24"/>
          <w:szCs w:val="24"/>
        </w:rPr>
        <w:t>coefficient of PROV become</w:t>
      </w:r>
      <w:proofErr w:type="gramEnd"/>
      <w:r w:rsidRPr="0036354B">
        <w:rPr>
          <w:sz w:val="24"/>
          <w:szCs w:val="24"/>
        </w:rPr>
        <w:t xml:space="preserve"> negative in regression 02 which was explained in the previous paragraphs. </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According to the findings of regression 01(see Table 4.3) and regression 02 (see Table ), the p-value of F-statistics is significant under 1% levels of significance as complying with  </w:t>
      </w:r>
      <w:proofErr w:type="spellStart"/>
      <w:r w:rsidRPr="0036354B">
        <w:rPr>
          <w:sz w:val="24"/>
          <w:szCs w:val="24"/>
        </w:rPr>
        <w:t>Sensarma</w:t>
      </w:r>
      <w:proofErr w:type="spellEnd"/>
      <w:r w:rsidRPr="0036354B">
        <w:rPr>
          <w:sz w:val="24"/>
          <w:szCs w:val="24"/>
        </w:rPr>
        <w:t xml:space="preserve"> and </w:t>
      </w:r>
      <w:proofErr w:type="spellStart"/>
      <w:r w:rsidRPr="0036354B">
        <w:rPr>
          <w:sz w:val="24"/>
          <w:szCs w:val="24"/>
        </w:rPr>
        <w:t>Jayadev</w:t>
      </w:r>
      <w:proofErr w:type="spellEnd"/>
      <w:r w:rsidRPr="0036354B">
        <w:rPr>
          <w:sz w:val="24"/>
          <w:szCs w:val="24"/>
        </w:rPr>
        <w:t xml:space="preserve"> (2009), </w:t>
      </w:r>
      <w:proofErr w:type="spellStart"/>
      <w:r w:rsidRPr="0036354B">
        <w:rPr>
          <w:sz w:val="24"/>
          <w:szCs w:val="24"/>
        </w:rPr>
        <w:t>Fathi</w:t>
      </w:r>
      <w:proofErr w:type="spellEnd"/>
      <w:r>
        <w:rPr>
          <w:sz w:val="24"/>
          <w:szCs w:val="24"/>
        </w:rPr>
        <w:t xml:space="preserve"> et al. </w:t>
      </w:r>
      <w:r w:rsidRPr="0036354B">
        <w:rPr>
          <w:sz w:val="24"/>
          <w:szCs w:val="24"/>
        </w:rPr>
        <w:t xml:space="preserve">(2012) and </w:t>
      </w:r>
      <w:proofErr w:type="spellStart"/>
      <w:r w:rsidRPr="0036354B">
        <w:rPr>
          <w:sz w:val="24"/>
          <w:szCs w:val="24"/>
        </w:rPr>
        <w:t>Saeidi</w:t>
      </w:r>
      <w:proofErr w:type="spellEnd"/>
      <w:r w:rsidRPr="0036354B">
        <w:rPr>
          <w:sz w:val="24"/>
          <w:szCs w:val="24"/>
        </w:rPr>
        <w:t xml:space="preserve"> and </w:t>
      </w:r>
      <w:proofErr w:type="spellStart"/>
      <w:r w:rsidRPr="0036354B">
        <w:rPr>
          <w:sz w:val="24"/>
          <w:szCs w:val="24"/>
        </w:rPr>
        <w:t>Kamali</w:t>
      </w:r>
      <w:proofErr w:type="spellEnd"/>
      <w:r w:rsidRPr="0036354B">
        <w:rPr>
          <w:sz w:val="24"/>
          <w:szCs w:val="24"/>
        </w:rPr>
        <w:t xml:space="preserve"> (2016). Indeed, as a whole model, the combined explanatory power of all the independent variables on bank stock returns is highly significant in both regressions. Accordingly, market return (</w:t>
      </w:r>
      <w:proofErr w:type="spellStart"/>
      <w:r w:rsidRPr="0036354B">
        <w:rPr>
          <w:sz w:val="24"/>
          <w:szCs w:val="24"/>
        </w:rPr>
        <w:t>Rm</w:t>
      </w:r>
      <w:proofErr w:type="spellEnd"/>
      <w:r w:rsidRPr="0036354B">
        <w:rPr>
          <w:sz w:val="24"/>
          <w:szCs w:val="24"/>
        </w:rPr>
        <w:t xml:space="preserve">), bank income diversification (NNIM), credit risk management capability (PROV), solvency risk management </w:t>
      </w:r>
      <w:proofErr w:type="gramStart"/>
      <w:r w:rsidRPr="0036354B">
        <w:rPr>
          <w:sz w:val="24"/>
          <w:szCs w:val="24"/>
        </w:rPr>
        <w:t>capabilities  (</w:t>
      </w:r>
      <w:proofErr w:type="gramEnd"/>
      <w:r w:rsidRPr="0036354B">
        <w:rPr>
          <w:sz w:val="24"/>
          <w:szCs w:val="24"/>
        </w:rPr>
        <w:t xml:space="preserve">CAR), interest rate risk management capability (NETIM) and firm size (TA) collectively impact to bank stock returns. </w:t>
      </w:r>
    </w:p>
    <w:p w:rsidR="00955C42" w:rsidRPr="0036354B" w:rsidRDefault="00955C42" w:rsidP="00955C42">
      <w:pPr>
        <w:tabs>
          <w:tab w:val="left" w:pos="8220"/>
        </w:tabs>
        <w:spacing w:after="0" w:line="240" w:lineRule="auto"/>
        <w:contextualSpacing/>
        <w:rPr>
          <w:rFonts w:eastAsiaTheme="minorEastAsia"/>
          <w:sz w:val="24"/>
          <w:szCs w:val="24"/>
        </w:rPr>
      </w:pPr>
    </w:p>
    <w:p w:rsidR="00955C42" w:rsidRPr="0036354B" w:rsidRDefault="00955C42" w:rsidP="00955C42">
      <w:pPr>
        <w:spacing w:after="0" w:line="240" w:lineRule="auto"/>
        <w:jc w:val="left"/>
        <w:rPr>
          <w:b/>
          <w:color w:val="000000"/>
          <w:sz w:val="24"/>
          <w:szCs w:val="24"/>
        </w:rPr>
      </w:pPr>
      <w:r w:rsidRPr="0036354B">
        <w:rPr>
          <w:b/>
          <w:color w:val="000000"/>
          <w:sz w:val="24"/>
          <w:szCs w:val="24"/>
        </w:rPr>
        <w:t xml:space="preserve">5. Implications and </w:t>
      </w:r>
      <w:r>
        <w:rPr>
          <w:b/>
          <w:color w:val="000000"/>
          <w:sz w:val="24"/>
          <w:szCs w:val="24"/>
        </w:rPr>
        <w:t>c</w:t>
      </w:r>
      <w:r w:rsidRPr="0036354B">
        <w:rPr>
          <w:b/>
          <w:color w:val="000000"/>
          <w:sz w:val="24"/>
          <w:szCs w:val="24"/>
        </w:rPr>
        <w:t>onclusion</w:t>
      </w:r>
    </w:p>
    <w:p w:rsidR="00955C42" w:rsidRPr="0036354B" w:rsidRDefault="00955C42" w:rsidP="00955C42">
      <w:pPr>
        <w:spacing w:after="0" w:line="240" w:lineRule="auto"/>
        <w:rPr>
          <w:color w:val="000000"/>
          <w:sz w:val="24"/>
          <w:szCs w:val="24"/>
        </w:rPr>
      </w:pPr>
      <w:r w:rsidRPr="0036354B">
        <w:rPr>
          <w:color w:val="000000"/>
          <w:sz w:val="24"/>
          <w:szCs w:val="24"/>
        </w:rPr>
        <w:t>The objective of this study is to examine the impact of risk management capability of the bank on bank stock returns which measure the shareholder wealth. Four risk management capabilities of interest rate risk management (NETIM), bank income diversification (NNIM), credit risk management (PROV), and solvency risk management (CAR) are identified using standard Du Pont analysis by decomposing ROE calculation. The study compounded mentioned risk management variables and stock return for eight listed commercial banks for the period from 2006 to 2018.</w:t>
      </w:r>
    </w:p>
    <w:p w:rsidR="00955C42" w:rsidRDefault="00955C42" w:rsidP="00955C42">
      <w:pPr>
        <w:spacing w:after="0" w:line="240" w:lineRule="auto"/>
        <w:rPr>
          <w:color w:val="000000"/>
          <w:sz w:val="24"/>
          <w:szCs w:val="24"/>
        </w:rPr>
      </w:pPr>
    </w:p>
    <w:p w:rsidR="00955C42" w:rsidRPr="0036354B" w:rsidRDefault="00955C42" w:rsidP="00955C42">
      <w:pPr>
        <w:spacing w:after="0" w:line="240" w:lineRule="auto"/>
        <w:rPr>
          <w:color w:val="000000"/>
          <w:sz w:val="24"/>
          <w:szCs w:val="24"/>
        </w:rPr>
      </w:pPr>
      <w:r w:rsidRPr="0036354B">
        <w:rPr>
          <w:color w:val="000000"/>
          <w:sz w:val="24"/>
          <w:szCs w:val="24"/>
        </w:rPr>
        <w:t xml:space="preserve">Two separate </w:t>
      </w:r>
      <w:proofErr w:type="gramStart"/>
      <w:r w:rsidRPr="0036354B">
        <w:rPr>
          <w:color w:val="000000"/>
          <w:sz w:val="24"/>
          <w:szCs w:val="24"/>
        </w:rPr>
        <w:t>regression</w:t>
      </w:r>
      <w:proofErr w:type="gramEnd"/>
      <w:r w:rsidRPr="0036354B">
        <w:rPr>
          <w:color w:val="000000"/>
          <w:sz w:val="24"/>
          <w:szCs w:val="24"/>
        </w:rPr>
        <w:t xml:space="preserve"> was estimated to analyze the impact of the control variable of firm size (TA) on the overall model. The regression 01 was estimated without considering the firm size impact and regression 02 was estimated considering the impact of firm size.</w:t>
      </w:r>
    </w:p>
    <w:p w:rsidR="00955C42" w:rsidRDefault="00955C42" w:rsidP="00955C42">
      <w:pPr>
        <w:spacing w:after="0" w:line="240" w:lineRule="auto"/>
        <w:rPr>
          <w:color w:val="000000"/>
          <w:sz w:val="24"/>
          <w:szCs w:val="24"/>
        </w:rPr>
      </w:pPr>
    </w:p>
    <w:p w:rsidR="00955C42" w:rsidRPr="0036354B" w:rsidRDefault="00955C42" w:rsidP="00955C42">
      <w:pPr>
        <w:spacing w:after="0" w:line="240" w:lineRule="auto"/>
        <w:rPr>
          <w:color w:val="000000"/>
          <w:sz w:val="24"/>
          <w:szCs w:val="24"/>
        </w:rPr>
      </w:pPr>
      <w:r w:rsidRPr="0036354B">
        <w:rPr>
          <w:color w:val="000000"/>
          <w:sz w:val="24"/>
          <w:szCs w:val="24"/>
        </w:rPr>
        <w:t>According to the findings of the study, market return (</w:t>
      </w:r>
      <m:oMath>
        <m:sSub>
          <m:sSubPr>
            <m:ctrlPr>
              <w:rPr>
                <w:rFonts w:ascii="Cambria Math" w:hAnsi="Cambria Math"/>
                <w:bCs/>
                <w:i/>
                <w:color w:val="000000" w:themeColor="text1" w:themeShade="BF"/>
                <w:sz w:val="24"/>
                <w:szCs w:val="24"/>
              </w:rPr>
            </m:ctrlPr>
          </m:sSubPr>
          <m:e>
            <m:r>
              <w:rPr>
                <w:rFonts w:ascii="Cambria Math" w:hAnsi="Cambria Math"/>
                <w:sz w:val="24"/>
                <w:szCs w:val="24"/>
              </w:rPr>
              <m:t>R</m:t>
            </m:r>
          </m:e>
          <m:sub>
            <m:r>
              <w:rPr>
                <w:rFonts w:ascii="Cambria Math" w:hAnsi="Cambria Math"/>
                <w:sz w:val="24"/>
                <w:szCs w:val="24"/>
              </w:rPr>
              <m:t>m</m:t>
            </m:r>
          </m:sub>
        </m:sSub>
      </m:oMath>
      <w:r w:rsidRPr="0036354B">
        <w:rPr>
          <w:color w:val="000000"/>
          <w:sz w:val="24"/>
          <w:szCs w:val="24"/>
        </w:rPr>
        <w:t xml:space="preserve">) and bank income diversification (NNIM) were significant predictors of bank stock returns in regression 01 and regression 02. The impact of market return on bank stock returns was highly significant supporting the systematic risk argument of Sharpe and Linter (1965) and </w:t>
      </w:r>
      <w:proofErr w:type="spellStart"/>
      <w:r w:rsidRPr="0036354B">
        <w:rPr>
          <w:color w:val="000000"/>
          <w:sz w:val="24"/>
          <w:szCs w:val="24"/>
        </w:rPr>
        <w:t>Fama</w:t>
      </w:r>
      <w:proofErr w:type="spellEnd"/>
      <w:r w:rsidRPr="0036354B">
        <w:rPr>
          <w:color w:val="000000"/>
          <w:sz w:val="24"/>
          <w:szCs w:val="24"/>
        </w:rPr>
        <w:t xml:space="preserve"> (1973). Furthermore, bank stock returns are negatively related to the market return and bank income diversification is positively related to the bank stock returns. The impacts of interest rate risk management capability (NETIM), credit risk management capability (PROV) and solvency risk management capability (CAR) are not significant to determine bank stock returns.</w:t>
      </w:r>
    </w:p>
    <w:p w:rsidR="00955C42" w:rsidRDefault="00955C42" w:rsidP="00955C42">
      <w:pPr>
        <w:spacing w:after="0" w:line="240" w:lineRule="auto"/>
        <w:rPr>
          <w:color w:val="000000"/>
          <w:sz w:val="24"/>
          <w:szCs w:val="24"/>
        </w:rPr>
      </w:pPr>
    </w:p>
    <w:p w:rsidR="00955C42" w:rsidRPr="0036354B" w:rsidRDefault="00955C42" w:rsidP="00955C42">
      <w:pPr>
        <w:spacing w:after="0" w:line="240" w:lineRule="auto"/>
        <w:rPr>
          <w:color w:val="000000"/>
          <w:sz w:val="24"/>
          <w:szCs w:val="24"/>
        </w:rPr>
      </w:pPr>
      <w:r w:rsidRPr="0036354B">
        <w:rPr>
          <w:color w:val="000000"/>
          <w:sz w:val="24"/>
          <w:szCs w:val="24"/>
        </w:rPr>
        <w:t xml:space="preserve">The introduction of firm size into the regression 02 did not make a significant impact on the results under regression 02. However, the positive coefficient of PROV in regression 01 </w:t>
      </w:r>
      <w:r w:rsidRPr="0036354B">
        <w:rPr>
          <w:color w:val="000000"/>
          <w:sz w:val="24"/>
          <w:szCs w:val="24"/>
        </w:rPr>
        <w:lastRenderedPageBreak/>
        <w:t xml:space="preserve">became a negative coefficient in regression 02. </w:t>
      </w:r>
      <w:proofErr w:type="gramStart"/>
      <w:r w:rsidRPr="0036354B">
        <w:rPr>
          <w:color w:val="000000"/>
          <w:sz w:val="24"/>
          <w:szCs w:val="24"/>
        </w:rPr>
        <w:t>The negative coefficient value of PROV in regression 02 supporting to the theoretical argument of Du Pont analysis that increasing provisions decrease the credit risk management capability thereby decreasing the return for shareholders.</w:t>
      </w:r>
      <w:proofErr w:type="gramEnd"/>
      <w:r w:rsidRPr="0036354B">
        <w:rPr>
          <w:color w:val="000000"/>
          <w:sz w:val="24"/>
          <w:szCs w:val="24"/>
        </w:rPr>
        <w:t xml:space="preserve"> The positive relationship between firm size and stock returns was also insignificant.</w:t>
      </w:r>
    </w:p>
    <w:p w:rsidR="00955C42" w:rsidRDefault="00955C42" w:rsidP="00955C42">
      <w:pPr>
        <w:spacing w:after="0" w:line="240" w:lineRule="auto"/>
        <w:rPr>
          <w:color w:val="000000"/>
          <w:sz w:val="24"/>
          <w:szCs w:val="24"/>
        </w:rPr>
      </w:pPr>
    </w:p>
    <w:p w:rsidR="00955C42" w:rsidRPr="0036354B" w:rsidRDefault="00955C42" w:rsidP="00955C42">
      <w:pPr>
        <w:spacing w:after="0" w:line="240" w:lineRule="auto"/>
        <w:rPr>
          <w:color w:val="000000"/>
          <w:sz w:val="24"/>
          <w:szCs w:val="24"/>
        </w:rPr>
      </w:pPr>
      <w:r w:rsidRPr="0036354B">
        <w:rPr>
          <w:color w:val="000000"/>
          <w:sz w:val="24"/>
          <w:szCs w:val="24"/>
        </w:rPr>
        <w:t xml:space="preserve">This study contributes to the literature of the Sri Lankan banking industry by employing standard Du Pont analysis to banks' financial statements. Also, this provides several implications for bank managers and shareholders. </w:t>
      </w:r>
    </w:p>
    <w:p w:rsidR="00955C42" w:rsidRDefault="00955C42" w:rsidP="00955C42">
      <w:pPr>
        <w:spacing w:after="0" w:line="240" w:lineRule="auto"/>
        <w:rPr>
          <w:color w:val="000000"/>
          <w:sz w:val="24"/>
          <w:szCs w:val="24"/>
        </w:rPr>
      </w:pPr>
    </w:p>
    <w:p w:rsidR="00955C42" w:rsidRPr="0036354B" w:rsidRDefault="00955C42" w:rsidP="00955C42">
      <w:pPr>
        <w:spacing w:after="0" w:line="240" w:lineRule="auto"/>
        <w:rPr>
          <w:color w:val="000000"/>
          <w:sz w:val="24"/>
          <w:szCs w:val="24"/>
        </w:rPr>
      </w:pPr>
      <w:r w:rsidRPr="0036354B">
        <w:rPr>
          <w:color w:val="000000"/>
          <w:sz w:val="24"/>
          <w:szCs w:val="24"/>
        </w:rPr>
        <w:t xml:space="preserve">Bank managers can employ effective strategies to increase non-interest income hence it contributes to generating a higher return for the shareholders. Expanding the income-generating sources such as </w:t>
      </w:r>
      <w:r w:rsidRPr="0036354B">
        <w:rPr>
          <w:sz w:val="24"/>
          <w:szCs w:val="24"/>
        </w:rPr>
        <w:t>fees, insufficient funds (NSF) fees, annual fees, monthly account service charges, inactivity fees, check and deposit slip fees and other income</w:t>
      </w:r>
      <w:r w:rsidRPr="0036354B">
        <w:rPr>
          <w:color w:val="000000"/>
          <w:sz w:val="24"/>
          <w:szCs w:val="24"/>
        </w:rPr>
        <w:t xml:space="preserve"> other interest income will generate a higher return for shareholders. The study suggests to shareholders to purchase the stocks of banks which have increased non-interest income and to concentrate on the market index changes to increase their returns. </w:t>
      </w:r>
    </w:p>
    <w:p w:rsidR="00955C42" w:rsidRDefault="00955C42" w:rsidP="00955C42">
      <w:pPr>
        <w:spacing w:after="0" w:line="240" w:lineRule="auto"/>
        <w:rPr>
          <w:sz w:val="24"/>
          <w:szCs w:val="24"/>
        </w:rPr>
      </w:pPr>
    </w:p>
    <w:p w:rsidR="00955C42" w:rsidRPr="0036354B" w:rsidRDefault="00955C42" w:rsidP="00955C42">
      <w:pPr>
        <w:spacing w:after="0" w:line="240" w:lineRule="auto"/>
        <w:rPr>
          <w:sz w:val="24"/>
          <w:szCs w:val="24"/>
        </w:rPr>
      </w:pPr>
      <w:r w:rsidRPr="0036354B">
        <w:rPr>
          <w:sz w:val="24"/>
          <w:szCs w:val="24"/>
        </w:rPr>
        <w:t xml:space="preserve">The future researchers can extend the study by identifying other risk management capabilities using Du Pont analysis. Furthermore, researchers can use an alternative technique to measure the risk management capabilities of banks other than using ratio analysis. The major drawback of the study is considering only eight listed commercial banks since the unavailability of data required for the study. </w:t>
      </w:r>
    </w:p>
    <w:p w:rsidR="00955C42" w:rsidRDefault="00955C42" w:rsidP="00955C42">
      <w:pPr>
        <w:spacing w:after="0" w:line="240" w:lineRule="auto"/>
        <w:rPr>
          <w:sz w:val="24"/>
          <w:szCs w:val="24"/>
        </w:rPr>
      </w:pPr>
    </w:p>
    <w:p w:rsidR="00955C42" w:rsidRDefault="00955C42" w:rsidP="00955C42">
      <w:pPr>
        <w:spacing w:after="0" w:line="240" w:lineRule="auto"/>
        <w:rPr>
          <w:rFonts w:cstheme="minorHAnsi"/>
          <w:b/>
          <w:sz w:val="24"/>
          <w:szCs w:val="24"/>
        </w:rPr>
      </w:pPr>
      <w:r w:rsidRPr="00BB1103">
        <w:rPr>
          <w:rFonts w:cstheme="minorHAnsi"/>
          <w:b/>
          <w:sz w:val="24"/>
          <w:szCs w:val="24"/>
        </w:rPr>
        <w:t>References</w:t>
      </w:r>
    </w:p>
    <w:p w:rsidR="00955C42" w:rsidRDefault="00955C42" w:rsidP="00955C42">
      <w:pPr>
        <w:spacing w:after="0" w:line="240" w:lineRule="auto"/>
        <w:rPr>
          <w:rFonts w:cstheme="minorHAnsi"/>
          <w:b/>
          <w:sz w:val="24"/>
          <w:szCs w:val="24"/>
        </w:rPr>
      </w:pPr>
    </w:p>
    <w:p w:rsidR="00955C42" w:rsidRPr="005706EE" w:rsidRDefault="00955C42" w:rsidP="00955C42">
      <w:pPr>
        <w:spacing w:line="240" w:lineRule="auto"/>
        <w:ind w:left="360" w:hanging="360"/>
        <w:contextualSpacing/>
        <w:rPr>
          <w:rFonts w:cstheme="minorHAnsi"/>
          <w:sz w:val="24"/>
          <w:szCs w:val="24"/>
        </w:rPr>
      </w:pPr>
      <w:r w:rsidRPr="005C658A">
        <w:rPr>
          <w:noProof/>
          <w:sz w:val="24"/>
          <w:szCs w:val="24"/>
        </w:rPr>
        <w:t xml:space="preserve">Abewardhana, N. A., &amp; Thilakarathne, P. (2017). The Impact of Credit Risk Management on the Performance of the Banking Sector. </w:t>
      </w:r>
      <w:r w:rsidRPr="005C658A">
        <w:rPr>
          <w:i/>
          <w:iCs/>
          <w:noProof/>
          <w:sz w:val="24"/>
          <w:szCs w:val="24"/>
        </w:rPr>
        <w:t>Undergraduate Research Conference-2016.</w:t>
      </w:r>
      <w:r w:rsidRPr="005C658A">
        <w:rPr>
          <w:noProof/>
          <w:sz w:val="24"/>
          <w:szCs w:val="24"/>
        </w:rPr>
        <w:t xml:space="preserve"> Kelaniya: University of Kelaniya.</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r w:rsidRPr="005C658A">
        <w:rPr>
          <w:rFonts w:cstheme="minorHAnsi"/>
          <w:sz w:val="24"/>
          <w:szCs w:val="24"/>
          <w:shd w:val="clear" w:color="auto" w:fill="FFFFFF"/>
        </w:rPr>
        <w:t>Aghababaei</w:t>
      </w:r>
      <w:proofErr w:type="spellEnd"/>
      <w:r w:rsidRPr="005C658A">
        <w:rPr>
          <w:rFonts w:cstheme="minorHAnsi"/>
          <w:sz w:val="24"/>
          <w:szCs w:val="24"/>
          <w:shd w:val="clear" w:color="auto" w:fill="FFFFFF"/>
        </w:rPr>
        <w:t xml:space="preserve">, H. R., </w:t>
      </w:r>
      <w:proofErr w:type="spellStart"/>
      <w:r w:rsidRPr="005C658A">
        <w:rPr>
          <w:rFonts w:cstheme="minorHAnsi"/>
          <w:sz w:val="24"/>
          <w:szCs w:val="24"/>
          <w:shd w:val="clear" w:color="auto" w:fill="FFFFFF"/>
        </w:rPr>
        <w:t>Ataei</w:t>
      </w:r>
      <w:proofErr w:type="spellEnd"/>
      <w:r w:rsidRPr="005C658A">
        <w:rPr>
          <w:rFonts w:cstheme="minorHAnsi"/>
          <w:sz w:val="24"/>
          <w:szCs w:val="24"/>
          <w:shd w:val="clear" w:color="auto" w:fill="FFFFFF"/>
        </w:rPr>
        <w:t xml:space="preserve">, S., &amp; </w:t>
      </w:r>
      <w:proofErr w:type="spellStart"/>
      <w:r w:rsidRPr="005C658A">
        <w:rPr>
          <w:rFonts w:cstheme="minorHAnsi"/>
          <w:sz w:val="24"/>
          <w:szCs w:val="24"/>
          <w:shd w:val="clear" w:color="auto" w:fill="FFFFFF"/>
        </w:rPr>
        <w:t>Azizkhani</w:t>
      </w:r>
      <w:proofErr w:type="spellEnd"/>
      <w:r w:rsidRPr="005C658A">
        <w:rPr>
          <w:rFonts w:cstheme="minorHAnsi"/>
          <w:sz w:val="24"/>
          <w:szCs w:val="24"/>
          <w:shd w:val="clear" w:color="auto" w:fill="FFFFFF"/>
        </w:rPr>
        <w:t xml:space="preserve">, H. (2013). Effects of Credit risk indicators on shareholders' value of commercial banks in Iran. </w:t>
      </w:r>
      <w:proofErr w:type="gramStart"/>
      <w:r w:rsidRPr="005C658A">
        <w:rPr>
          <w:rFonts w:cstheme="minorHAnsi"/>
          <w:i/>
          <w:iCs/>
          <w:sz w:val="24"/>
          <w:szCs w:val="24"/>
          <w:shd w:val="clear" w:color="auto" w:fill="FFFFFF"/>
        </w:rPr>
        <w:t>International Research Journal of Applied &amp; Basic Sciences</w:t>
      </w:r>
      <w:r w:rsidRPr="005C658A">
        <w:rPr>
          <w:rFonts w:cstheme="minorHAnsi"/>
          <w:sz w:val="24"/>
          <w:szCs w:val="24"/>
          <w:shd w:val="clear" w:color="auto" w:fill="FFFFFF"/>
        </w:rPr>
        <w:t>.</w:t>
      </w:r>
      <w:proofErr w:type="gramEnd"/>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Agusman</w:t>
      </w:r>
      <w:proofErr w:type="spellEnd"/>
      <w:r w:rsidRPr="005C658A">
        <w:rPr>
          <w:rFonts w:cstheme="minorHAnsi"/>
          <w:sz w:val="24"/>
          <w:szCs w:val="24"/>
          <w:shd w:val="clear" w:color="auto" w:fill="FFFFFF"/>
        </w:rPr>
        <w:t xml:space="preserve">, A., Monroe, G. S., </w:t>
      </w:r>
      <w:proofErr w:type="spellStart"/>
      <w:r w:rsidRPr="005C658A">
        <w:rPr>
          <w:rFonts w:cstheme="minorHAnsi"/>
          <w:sz w:val="24"/>
          <w:szCs w:val="24"/>
          <w:shd w:val="clear" w:color="auto" w:fill="FFFFFF"/>
        </w:rPr>
        <w:t>Gasbarro</w:t>
      </w:r>
      <w:proofErr w:type="spellEnd"/>
      <w:r w:rsidRPr="005C658A">
        <w:rPr>
          <w:rFonts w:cstheme="minorHAnsi"/>
          <w:sz w:val="24"/>
          <w:szCs w:val="24"/>
          <w:shd w:val="clear" w:color="auto" w:fill="FFFFFF"/>
        </w:rPr>
        <w:t xml:space="preserve">, D., &amp; </w:t>
      </w:r>
      <w:proofErr w:type="spellStart"/>
      <w:r w:rsidRPr="005C658A">
        <w:rPr>
          <w:rFonts w:cstheme="minorHAnsi"/>
          <w:sz w:val="24"/>
          <w:szCs w:val="24"/>
          <w:shd w:val="clear" w:color="auto" w:fill="FFFFFF"/>
        </w:rPr>
        <w:t>Zumwalt</w:t>
      </w:r>
      <w:proofErr w:type="spellEnd"/>
      <w:r w:rsidRPr="005C658A">
        <w:rPr>
          <w:rFonts w:cstheme="minorHAnsi"/>
          <w:sz w:val="24"/>
          <w:szCs w:val="24"/>
          <w:shd w:val="clear" w:color="auto" w:fill="FFFFFF"/>
        </w:rPr>
        <w:t>, J. K. (2008, June).</w:t>
      </w:r>
      <w:proofErr w:type="gramEnd"/>
      <w:r w:rsidRPr="005C658A">
        <w:rPr>
          <w:rFonts w:cstheme="minorHAnsi"/>
          <w:sz w:val="24"/>
          <w:szCs w:val="24"/>
          <w:shd w:val="clear" w:color="auto" w:fill="FFFFFF"/>
        </w:rPr>
        <w:t xml:space="preserve"> Loan loss reserves and bank stock returns: Evidence from Asian banks. </w:t>
      </w:r>
      <w:proofErr w:type="gramStart"/>
      <w:r w:rsidRPr="005C658A">
        <w:rPr>
          <w:rFonts w:cstheme="minorHAnsi"/>
          <w:sz w:val="24"/>
          <w:szCs w:val="24"/>
          <w:shd w:val="clear" w:color="auto" w:fill="FFFFFF"/>
        </w:rPr>
        <w:t>In </w:t>
      </w:r>
      <w:r w:rsidRPr="005C658A">
        <w:rPr>
          <w:rFonts w:cstheme="minorHAnsi"/>
          <w:i/>
          <w:iCs/>
          <w:sz w:val="24"/>
          <w:szCs w:val="24"/>
          <w:shd w:val="clear" w:color="auto" w:fill="FFFFFF"/>
        </w:rPr>
        <w:t>21st Australasian Finance and Banking Conference</w:t>
      </w:r>
      <w:r w:rsidRPr="005C658A">
        <w:rPr>
          <w:rFonts w:cstheme="minorHAnsi"/>
          <w:sz w:val="24"/>
          <w:szCs w:val="24"/>
          <w:shd w:val="clear" w:color="auto" w:fill="FFFFFF"/>
        </w:rPr>
        <w:t>.</w:t>
      </w:r>
      <w:proofErr w:type="gramEnd"/>
    </w:p>
    <w:p w:rsidR="00955C42" w:rsidRPr="005C658A" w:rsidRDefault="00955C42" w:rsidP="00955C42">
      <w:pPr>
        <w:spacing w:line="240" w:lineRule="auto"/>
        <w:ind w:left="360" w:hanging="360"/>
        <w:contextualSpacing/>
        <w:rPr>
          <w:rFonts w:cstheme="minorHAnsi"/>
          <w:sz w:val="24"/>
          <w:szCs w:val="24"/>
          <w:shd w:val="clear" w:color="auto" w:fill="FFFFFF"/>
        </w:rPr>
      </w:pPr>
      <w:r w:rsidRPr="005C658A">
        <w:rPr>
          <w:rFonts w:cstheme="minorHAnsi"/>
          <w:sz w:val="24"/>
          <w:szCs w:val="24"/>
          <w:shd w:val="clear" w:color="auto" w:fill="FFFFFF"/>
        </w:rPr>
        <w:t xml:space="preserve">Ahmad, K. (2011). The return and volatility of sentiments: An attempt to quantify the </w:t>
      </w:r>
      <w:proofErr w:type="spellStart"/>
      <w:r w:rsidRPr="005C658A">
        <w:rPr>
          <w:rFonts w:cstheme="minorHAnsi"/>
          <w:sz w:val="24"/>
          <w:szCs w:val="24"/>
          <w:shd w:val="clear" w:color="auto" w:fill="FFFFFF"/>
        </w:rPr>
        <w:t>behaviour</w:t>
      </w:r>
      <w:proofErr w:type="spellEnd"/>
      <w:r w:rsidRPr="005C658A">
        <w:rPr>
          <w:rFonts w:cstheme="minorHAnsi"/>
          <w:sz w:val="24"/>
          <w:szCs w:val="24"/>
          <w:shd w:val="clear" w:color="auto" w:fill="FFFFFF"/>
        </w:rPr>
        <w:t xml:space="preserve"> of the markets? </w:t>
      </w:r>
      <w:proofErr w:type="gramStart"/>
      <w:r w:rsidRPr="005C658A">
        <w:rPr>
          <w:rFonts w:cstheme="minorHAnsi"/>
          <w:sz w:val="24"/>
          <w:szCs w:val="24"/>
          <w:shd w:val="clear" w:color="auto" w:fill="FFFFFF"/>
        </w:rPr>
        <w:t xml:space="preserve">In K. Ahmad (Ed.), </w:t>
      </w:r>
      <w:r w:rsidRPr="005C658A">
        <w:rPr>
          <w:rFonts w:cstheme="minorHAnsi"/>
          <w:i/>
          <w:iCs/>
          <w:sz w:val="24"/>
          <w:szCs w:val="24"/>
          <w:shd w:val="clear" w:color="auto" w:fill="FFFFFF"/>
        </w:rPr>
        <w:t>Affective Computing and Sentiment Analysis</w:t>
      </w:r>
      <w:r w:rsidRPr="005C658A">
        <w:rPr>
          <w:rFonts w:cstheme="minorHAnsi"/>
          <w:sz w:val="24"/>
          <w:szCs w:val="24"/>
          <w:shd w:val="clear" w:color="auto" w:fill="FFFFFF"/>
        </w:rPr>
        <w:t> (pp. 89-99).</w:t>
      </w:r>
      <w:proofErr w:type="gramEnd"/>
      <w:r w:rsidRPr="005C658A">
        <w:rPr>
          <w:rFonts w:cstheme="minorHAnsi"/>
          <w:sz w:val="24"/>
          <w:szCs w:val="24"/>
          <w:shd w:val="clear" w:color="auto" w:fill="FFFFFF"/>
        </w:rPr>
        <w:t xml:space="preserve"> Springer, Dordrecht</w:t>
      </w:r>
    </w:p>
    <w:p w:rsidR="00955C42" w:rsidRPr="005706EE" w:rsidRDefault="00955C42" w:rsidP="00955C42">
      <w:pPr>
        <w:spacing w:line="240" w:lineRule="auto"/>
        <w:ind w:left="360" w:hanging="360"/>
        <w:contextualSpacing/>
        <w:rPr>
          <w:rFonts w:cstheme="minorHAnsi"/>
          <w:sz w:val="24"/>
          <w:szCs w:val="24"/>
          <w:shd w:val="clear" w:color="auto" w:fill="FFFFFF"/>
        </w:rPr>
      </w:pPr>
      <w:proofErr w:type="spellStart"/>
      <w:r w:rsidRPr="005C658A">
        <w:rPr>
          <w:rFonts w:cstheme="minorHAnsi"/>
          <w:sz w:val="24"/>
          <w:szCs w:val="24"/>
          <w:shd w:val="clear" w:color="auto" w:fill="FFFFFF"/>
        </w:rPr>
        <w:t>Almazari</w:t>
      </w:r>
      <w:proofErr w:type="spellEnd"/>
      <w:r w:rsidRPr="005C658A">
        <w:rPr>
          <w:rFonts w:cstheme="minorHAnsi"/>
          <w:sz w:val="24"/>
          <w:szCs w:val="24"/>
          <w:shd w:val="clear" w:color="auto" w:fill="FFFFFF"/>
        </w:rPr>
        <w:t xml:space="preserve">, A. A. (2012). </w:t>
      </w:r>
      <w:proofErr w:type="gramStart"/>
      <w:r w:rsidRPr="005C658A">
        <w:rPr>
          <w:rFonts w:cstheme="minorHAnsi"/>
          <w:sz w:val="24"/>
          <w:szCs w:val="24"/>
          <w:shd w:val="clear" w:color="auto" w:fill="FFFFFF"/>
        </w:rPr>
        <w:t>Financial performance analysis of the Jordanian Arab bank by using the DuPont system of financial analysis.</w:t>
      </w:r>
      <w:proofErr w:type="gramEnd"/>
      <w:r w:rsidRPr="005C658A">
        <w:rPr>
          <w:rFonts w:cstheme="minorHAnsi"/>
          <w:sz w:val="24"/>
          <w:szCs w:val="24"/>
          <w:shd w:val="clear" w:color="auto" w:fill="FFFFFF"/>
        </w:rPr>
        <w:t> </w:t>
      </w:r>
      <w:proofErr w:type="gramStart"/>
      <w:r w:rsidRPr="005C658A">
        <w:rPr>
          <w:rFonts w:cstheme="minorHAnsi"/>
          <w:i/>
          <w:iCs/>
          <w:sz w:val="24"/>
          <w:szCs w:val="24"/>
          <w:shd w:val="clear" w:color="auto" w:fill="FFFFFF"/>
        </w:rPr>
        <w:t>International Journal of Economics and Finance</w:t>
      </w:r>
      <w:r w:rsidRPr="005C658A">
        <w:rPr>
          <w:rFonts w:cstheme="minorHAnsi"/>
          <w:sz w:val="24"/>
          <w:szCs w:val="24"/>
          <w:shd w:val="clear" w:color="auto" w:fill="FFFFFF"/>
        </w:rPr>
        <w:t>, </w:t>
      </w:r>
      <w:r w:rsidRPr="005C658A">
        <w:rPr>
          <w:rFonts w:cstheme="minorHAnsi"/>
          <w:i/>
          <w:iCs/>
          <w:sz w:val="24"/>
          <w:szCs w:val="24"/>
          <w:shd w:val="clear" w:color="auto" w:fill="FFFFFF"/>
        </w:rPr>
        <w:t>4</w:t>
      </w:r>
      <w:r w:rsidRPr="005C658A">
        <w:rPr>
          <w:rFonts w:cstheme="minorHAnsi"/>
          <w:sz w:val="24"/>
          <w:szCs w:val="24"/>
          <w:shd w:val="clear" w:color="auto" w:fill="FFFFFF"/>
        </w:rPr>
        <w:t>(4), 8694.</w:t>
      </w:r>
      <w:proofErr w:type="gramEnd"/>
    </w:p>
    <w:p w:rsidR="00955C42" w:rsidRPr="005C658A"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Altunbas</w:t>
      </w:r>
      <w:proofErr w:type="spellEnd"/>
      <w:r w:rsidRPr="005C658A">
        <w:rPr>
          <w:rFonts w:cstheme="minorHAnsi"/>
          <w:sz w:val="24"/>
          <w:szCs w:val="24"/>
        </w:rPr>
        <w:t xml:space="preserve">, Y., Liu, M. H., </w:t>
      </w:r>
      <w:proofErr w:type="spellStart"/>
      <w:r w:rsidRPr="005C658A">
        <w:rPr>
          <w:rFonts w:cstheme="minorHAnsi"/>
          <w:sz w:val="24"/>
          <w:szCs w:val="24"/>
        </w:rPr>
        <w:t>Molyneux</w:t>
      </w:r>
      <w:proofErr w:type="spellEnd"/>
      <w:r w:rsidRPr="005C658A">
        <w:rPr>
          <w:rFonts w:cstheme="minorHAnsi"/>
          <w:sz w:val="24"/>
          <w:szCs w:val="24"/>
        </w:rPr>
        <w:t>, P., &amp; Seth, R. (2000).</w:t>
      </w:r>
      <w:proofErr w:type="gramEnd"/>
      <w:r w:rsidRPr="005C658A">
        <w:rPr>
          <w:rFonts w:cstheme="minorHAnsi"/>
          <w:sz w:val="24"/>
          <w:szCs w:val="24"/>
        </w:rPr>
        <w:t xml:space="preserve"> Efficiency and risk in Japanese banking. </w:t>
      </w:r>
      <w:r w:rsidRPr="005C658A">
        <w:rPr>
          <w:rFonts w:cstheme="minorHAnsi"/>
          <w:i/>
          <w:iCs/>
          <w:sz w:val="24"/>
          <w:szCs w:val="24"/>
        </w:rPr>
        <w:t>Journal of Banking &amp; Finance</w:t>
      </w:r>
      <w:r w:rsidRPr="005C658A">
        <w:rPr>
          <w:rFonts w:cstheme="minorHAnsi"/>
          <w:sz w:val="24"/>
          <w:szCs w:val="24"/>
        </w:rPr>
        <w:t xml:space="preserve">, </w:t>
      </w:r>
      <w:r w:rsidRPr="005C658A">
        <w:rPr>
          <w:rFonts w:cstheme="minorHAnsi"/>
          <w:i/>
          <w:iCs/>
          <w:sz w:val="24"/>
          <w:szCs w:val="24"/>
        </w:rPr>
        <w:t>24</w:t>
      </w:r>
      <w:r w:rsidRPr="005C658A">
        <w:rPr>
          <w:rFonts w:cstheme="minorHAnsi"/>
          <w:sz w:val="24"/>
          <w:szCs w:val="24"/>
        </w:rPr>
        <w:t xml:space="preserve">(10), 1605–1628. </w:t>
      </w:r>
    </w:p>
    <w:p w:rsidR="00955C42" w:rsidRPr="005706EE"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lastRenderedPageBreak/>
        <w:t>Amediku</w:t>
      </w:r>
      <w:proofErr w:type="spellEnd"/>
      <w:r w:rsidRPr="005C658A">
        <w:rPr>
          <w:rFonts w:cstheme="minorHAnsi"/>
          <w:sz w:val="24"/>
          <w:szCs w:val="24"/>
        </w:rPr>
        <w:t xml:space="preserve">, J. (2012). </w:t>
      </w:r>
      <w:r w:rsidRPr="005C658A">
        <w:rPr>
          <w:rFonts w:cstheme="minorHAnsi"/>
          <w:i/>
          <w:iCs/>
          <w:sz w:val="24"/>
          <w:szCs w:val="24"/>
        </w:rPr>
        <w:t xml:space="preserve">The impact of income diversification on bank performance: A case study of Zenith Bank, Cal Bank And </w:t>
      </w:r>
      <w:proofErr w:type="spellStart"/>
      <w:r w:rsidRPr="005C658A">
        <w:rPr>
          <w:rFonts w:cstheme="minorHAnsi"/>
          <w:i/>
          <w:iCs/>
          <w:sz w:val="24"/>
          <w:szCs w:val="24"/>
        </w:rPr>
        <w:t>Unibank</w:t>
      </w:r>
      <w:proofErr w:type="spellEnd"/>
      <w:r w:rsidRPr="005C658A">
        <w:rPr>
          <w:rFonts w:cstheme="minorHAnsi"/>
          <w:i/>
          <w:iCs/>
          <w:sz w:val="24"/>
          <w:szCs w:val="24"/>
        </w:rPr>
        <w:t xml:space="preserve"> </w:t>
      </w:r>
      <w:r w:rsidRPr="005C658A">
        <w:rPr>
          <w:rFonts w:cstheme="minorHAnsi"/>
          <w:sz w:val="24"/>
          <w:szCs w:val="24"/>
        </w:rPr>
        <w:t xml:space="preserve">(Unpublished doctoral dissertation). </w:t>
      </w:r>
      <w:proofErr w:type="gramStart"/>
      <w:r w:rsidRPr="005C658A">
        <w:rPr>
          <w:rFonts w:cstheme="minorHAnsi"/>
          <w:sz w:val="24"/>
          <w:szCs w:val="24"/>
        </w:rPr>
        <w:t xml:space="preserve">Institute of Distance Learning, </w:t>
      </w:r>
      <w:proofErr w:type="spellStart"/>
      <w:r w:rsidRPr="005C658A">
        <w:rPr>
          <w:rFonts w:cstheme="minorHAnsi"/>
          <w:sz w:val="24"/>
          <w:szCs w:val="24"/>
        </w:rPr>
        <w:t>Kwame</w:t>
      </w:r>
      <w:proofErr w:type="spellEnd"/>
      <w:r w:rsidRPr="005C658A">
        <w:rPr>
          <w:rFonts w:cstheme="minorHAnsi"/>
          <w:sz w:val="24"/>
          <w:szCs w:val="24"/>
        </w:rPr>
        <w:t xml:space="preserve"> Nkrumah University of Science and Technology).</w:t>
      </w:r>
      <w:proofErr w:type="gramEnd"/>
      <w:r w:rsidRPr="005C658A">
        <w:rPr>
          <w:rFonts w:cstheme="minorHAnsi"/>
          <w:sz w:val="24"/>
          <w:szCs w:val="24"/>
        </w:rPr>
        <w:t xml:space="preserve"> </w:t>
      </w:r>
    </w:p>
    <w:p w:rsidR="00955C42" w:rsidRPr="005C658A" w:rsidRDefault="00955C42" w:rsidP="00955C42">
      <w:pPr>
        <w:spacing w:line="240" w:lineRule="auto"/>
        <w:ind w:left="360" w:hanging="360"/>
        <w:contextualSpacing/>
        <w:rPr>
          <w:rFonts w:cstheme="minorHAnsi"/>
          <w:sz w:val="24"/>
          <w:szCs w:val="24"/>
        </w:rPr>
      </w:pPr>
      <w:r w:rsidRPr="005C658A">
        <w:rPr>
          <w:rFonts w:cstheme="minorHAnsi"/>
          <w:sz w:val="24"/>
          <w:szCs w:val="24"/>
          <w:shd w:val="clear" w:color="auto" w:fill="FFFFFF"/>
        </w:rPr>
        <w:t xml:space="preserve">Anderson, T. W. (2003). </w:t>
      </w:r>
      <w:proofErr w:type="gramStart"/>
      <w:r w:rsidRPr="005C658A">
        <w:rPr>
          <w:rFonts w:cstheme="minorHAnsi"/>
          <w:sz w:val="24"/>
          <w:szCs w:val="24"/>
          <w:shd w:val="clear" w:color="auto" w:fill="FFFFFF"/>
        </w:rPr>
        <w:t>An Introduction to Multivariate Statistical Analysis (Wiley Series in Probability and Statistics).</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July 11</w:t>
      </w:r>
      <w:r w:rsidRPr="005C658A">
        <w:rPr>
          <w:rFonts w:cstheme="minorHAnsi"/>
          <w:sz w:val="24"/>
          <w:szCs w:val="24"/>
          <w:shd w:val="clear" w:color="auto" w:fill="FFFFFF"/>
        </w:rPr>
        <w:t>.</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Arif</w:t>
      </w:r>
      <w:proofErr w:type="spellEnd"/>
      <w:r w:rsidRPr="005C658A">
        <w:rPr>
          <w:rFonts w:cstheme="minorHAnsi"/>
          <w:sz w:val="24"/>
          <w:szCs w:val="24"/>
          <w:shd w:val="clear" w:color="auto" w:fill="FFFFFF"/>
        </w:rPr>
        <w:t xml:space="preserve">, A., &amp; </w:t>
      </w:r>
      <w:proofErr w:type="spellStart"/>
      <w:r w:rsidRPr="005C658A">
        <w:rPr>
          <w:rFonts w:cstheme="minorHAnsi"/>
          <w:sz w:val="24"/>
          <w:szCs w:val="24"/>
          <w:shd w:val="clear" w:color="auto" w:fill="FFFFFF"/>
        </w:rPr>
        <w:t>Nauman</w:t>
      </w:r>
      <w:proofErr w:type="spellEnd"/>
      <w:r w:rsidRPr="005C658A">
        <w:rPr>
          <w:rFonts w:cstheme="minorHAnsi"/>
          <w:sz w:val="24"/>
          <w:szCs w:val="24"/>
          <w:shd w:val="clear" w:color="auto" w:fill="FFFFFF"/>
        </w:rPr>
        <w:t xml:space="preserve"> </w:t>
      </w:r>
      <w:proofErr w:type="spellStart"/>
      <w:r w:rsidRPr="005C658A">
        <w:rPr>
          <w:rFonts w:cstheme="minorHAnsi"/>
          <w:sz w:val="24"/>
          <w:szCs w:val="24"/>
          <w:shd w:val="clear" w:color="auto" w:fill="FFFFFF"/>
        </w:rPr>
        <w:t>Anees</w:t>
      </w:r>
      <w:proofErr w:type="spellEnd"/>
      <w:r w:rsidRPr="005C658A">
        <w:rPr>
          <w:rFonts w:cstheme="minorHAnsi"/>
          <w:sz w:val="24"/>
          <w:szCs w:val="24"/>
          <w:shd w:val="clear" w:color="auto" w:fill="FFFFFF"/>
        </w:rPr>
        <w:t>, A. (2012).</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Liquidity risk and performance of banking system.</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Journal of Financial Regulation and Compliance</w:t>
      </w:r>
      <w:r w:rsidRPr="005C658A">
        <w:rPr>
          <w:rFonts w:cstheme="minorHAnsi"/>
          <w:sz w:val="24"/>
          <w:szCs w:val="24"/>
          <w:shd w:val="clear" w:color="auto" w:fill="FFFFFF"/>
        </w:rPr>
        <w:t>, </w:t>
      </w:r>
      <w:r w:rsidRPr="005C658A">
        <w:rPr>
          <w:rFonts w:cstheme="minorHAnsi"/>
          <w:i/>
          <w:iCs/>
          <w:sz w:val="24"/>
          <w:szCs w:val="24"/>
          <w:shd w:val="clear" w:color="auto" w:fill="FFFFFF"/>
        </w:rPr>
        <w:t>20</w:t>
      </w:r>
      <w:r w:rsidRPr="005C658A">
        <w:rPr>
          <w:rFonts w:cstheme="minorHAnsi"/>
          <w:sz w:val="24"/>
          <w:szCs w:val="24"/>
          <w:shd w:val="clear" w:color="auto" w:fill="FFFFFF"/>
        </w:rPr>
        <w:t>(2), 182-195.</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Arif</w:t>
      </w:r>
      <w:proofErr w:type="spellEnd"/>
      <w:r w:rsidRPr="005C658A">
        <w:rPr>
          <w:rFonts w:cstheme="minorHAnsi"/>
          <w:sz w:val="24"/>
          <w:szCs w:val="24"/>
          <w:shd w:val="clear" w:color="auto" w:fill="FFFFFF"/>
        </w:rPr>
        <w:t xml:space="preserve">, A., </w:t>
      </w:r>
      <w:proofErr w:type="spellStart"/>
      <w:r w:rsidRPr="005C658A">
        <w:rPr>
          <w:rFonts w:cstheme="minorHAnsi"/>
          <w:sz w:val="24"/>
          <w:szCs w:val="24"/>
          <w:shd w:val="clear" w:color="auto" w:fill="FFFFFF"/>
        </w:rPr>
        <w:t>Abrar</w:t>
      </w:r>
      <w:proofErr w:type="spellEnd"/>
      <w:r w:rsidRPr="005C658A">
        <w:rPr>
          <w:rFonts w:cstheme="minorHAnsi"/>
          <w:sz w:val="24"/>
          <w:szCs w:val="24"/>
          <w:shd w:val="clear" w:color="auto" w:fill="FFFFFF"/>
        </w:rPr>
        <w:t xml:space="preserve">, A., &amp; </w:t>
      </w:r>
      <w:proofErr w:type="spellStart"/>
      <w:r w:rsidRPr="005C658A">
        <w:rPr>
          <w:rFonts w:cstheme="minorHAnsi"/>
          <w:sz w:val="24"/>
          <w:szCs w:val="24"/>
          <w:shd w:val="clear" w:color="auto" w:fill="FFFFFF"/>
        </w:rPr>
        <w:t>Afzal</w:t>
      </w:r>
      <w:proofErr w:type="spellEnd"/>
      <w:r w:rsidRPr="005C658A">
        <w:rPr>
          <w:rFonts w:cstheme="minorHAnsi"/>
          <w:sz w:val="24"/>
          <w:szCs w:val="24"/>
          <w:shd w:val="clear" w:color="auto" w:fill="FFFFFF"/>
        </w:rPr>
        <w:t>, M. (2012).</w:t>
      </w:r>
      <w:proofErr w:type="gramEnd"/>
      <w:r w:rsidRPr="005C658A">
        <w:rPr>
          <w:rFonts w:cstheme="minorHAnsi"/>
          <w:sz w:val="24"/>
          <w:szCs w:val="24"/>
          <w:shd w:val="clear" w:color="auto" w:fill="FFFFFF"/>
        </w:rPr>
        <w:t xml:space="preserve"> Credit Risk and Shareholders’ Value in a Developing Economy: Evidence from Pakistani Banking System. </w:t>
      </w:r>
      <w:r w:rsidRPr="005C658A">
        <w:rPr>
          <w:rFonts w:cstheme="minorHAnsi"/>
          <w:i/>
          <w:iCs/>
          <w:sz w:val="24"/>
          <w:szCs w:val="24"/>
          <w:shd w:val="clear" w:color="auto" w:fill="FFFFFF"/>
        </w:rPr>
        <w:t>Journal of Economics and Behavioral Studies</w:t>
      </w:r>
      <w:r w:rsidRPr="005C658A">
        <w:rPr>
          <w:rFonts w:cstheme="minorHAnsi"/>
          <w:sz w:val="24"/>
          <w:szCs w:val="24"/>
          <w:shd w:val="clear" w:color="auto" w:fill="FFFFFF"/>
        </w:rPr>
        <w:t>, </w:t>
      </w:r>
      <w:r w:rsidRPr="005C658A">
        <w:rPr>
          <w:rFonts w:cstheme="minorHAnsi"/>
          <w:i/>
          <w:iCs/>
          <w:sz w:val="24"/>
          <w:szCs w:val="24"/>
          <w:shd w:val="clear" w:color="auto" w:fill="FFFFFF"/>
        </w:rPr>
        <w:t>4</w:t>
      </w:r>
      <w:r w:rsidRPr="005C658A">
        <w:rPr>
          <w:rFonts w:cstheme="minorHAnsi"/>
          <w:sz w:val="24"/>
          <w:szCs w:val="24"/>
          <w:shd w:val="clear" w:color="auto" w:fill="FFFFFF"/>
        </w:rPr>
        <w:t>(2), 87-95.</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Atindéhou</w:t>
      </w:r>
      <w:proofErr w:type="spellEnd"/>
      <w:r w:rsidRPr="005C658A">
        <w:rPr>
          <w:rFonts w:cstheme="minorHAnsi"/>
          <w:sz w:val="24"/>
          <w:szCs w:val="24"/>
          <w:shd w:val="clear" w:color="auto" w:fill="FFFFFF"/>
        </w:rPr>
        <w:t xml:space="preserve">, R. B., &amp; </w:t>
      </w:r>
      <w:proofErr w:type="spellStart"/>
      <w:r w:rsidRPr="005C658A">
        <w:rPr>
          <w:rFonts w:cstheme="minorHAnsi"/>
          <w:sz w:val="24"/>
          <w:szCs w:val="24"/>
          <w:shd w:val="clear" w:color="auto" w:fill="FFFFFF"/>
        </w:rPr>
        <w:t>Gueyie</w:t>
      </w:r>
      <w:proofErr w:type="spellEnd"/>
      <w:r w:rsidRPr="005C658A">
        <w:rPr>
          <w:rFonts w:cstheme="minorHAnsi"/>
          <w:sz w:val="24"/>
          <w:szCs w:val="24"/>
          <w:shd w:val="clear" w:color="auto" w:fill="FFFFFF"/>
        </w:rPr>
        <w:t>, J. P. (2001).</w:t>
      </w:r>
      <w:proofErr w:type="gramEnd"/>
      <w:r w:rsidRPr="005C658A">
        <w:rPr>
          <w:rFonts w:cstheme="minorHAnsi"/>
          <w:sz w:val="24"/>
          <w:szCs w:val="24"/>
          <w:shd w:val="clear" w:color="auto" w:fill="FFFFFF"/>
        </w:rPr>
        <w:t xml:space="preserve"> Canadian chartered banks’ stock returns and exchange rate risk. </w:t>
      </w:r>
      <w:r w:rsidRPr="005C658A">
        <w:rPr>
          <w:rFonts w:cstheme="minorHAnsi"/>
          <w:i/>
          <w:iCs/>
          <w:sz w:val="24"/>
          <w:szCs w:val="24"/>
          <w:shd w:val="clear" w:color="auto" w:fill="FFFFFF"/>
        </w:rPr>
        <w:t>Management decision</w:t>
      </w:r>
      <w:r w:rsidRPr="005C658A">
        <w:rPr>
          <w:rFonts w:cstheme="minorHAnsi"/>
          <w:sz w:val="24"/>
          <w:szCs w:val="24"/>
          <w:shd w:val="clear" w:color="auto" w:fill="FFFFFF"/>
        </w:rPr>
        <w:t>, </w:t>
      </w:r>
      <w:r w:rsidRPr="005C658A">
        <w:rPr>
          <w:rFonts w:cstheme="minorHAnsi"/>
          <w:i/>
          <w:iCs/>
          <w:sz w:val="24"/>
          <w:szCs w:val="24"/>
          <w:shd w:val="clear" w:color="auto" w:fill="FFFFFF"/>
        </w:rPr>
        <w:t>39</w:t>
      </w:r>
      <w:r w:rsidRPr="005C658A">
        <w:rPr>
          <w:rFonts w:cstheme="minorHAnsi"/>
          <w:sz w:val="24"/>
          <w:szCs w:val="24"/>
          <w:shd w:val="clear" w:color="auto" w:fill="FFFFFF"/>
        </w:rPr>
        <w:t>(4), 285-295.</w:t>
      </w:r>
    </w:p>
    <w:p w:rsidR="00955C42" w:rsidRPr="005706EE"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Babi</w:t>
      </w:r>
      <w:proofErr w:type="spellEnd"/>
      <w:r w:rsidRPr="005C658A">
        <w:rPr>
          <w:rFonts w:cstheme="minorHAnsi"/>
          <w:sz w:val="24"/>
          <w:szCs w:val="24"/>
        </w:rPr>
        <w:t xml:space="preserve">, M. A. (2015). </w:t>
      </w:r>
      <w:proofErr w:type="gramStart"/>
      <w:r w:rsidRPr="005C658A">
        <w:rPr>
          <w:rFonts w:cstheme="minorHAnsi"/>
          <w:sz w:val="24"/>
          <w:szCs w:val="24"/>
        </w:rPr>
        <w:t>The effects of financial risks on the relationship between earnings and stock returns.</w:t>
      </w:r>
      <w:proofErr w:type="gramEnd"/>
      <w:r w:rsidRPr="005C658A">
        <w:rPr>
          <w:rFonts w:cstheme="minorHAnsi"/>
          <w:sz w:val="24"/>
          <w:szCs w:val="24"/>
        </w:rPr>
        <w:t xml:space="preserve"> </w:t>
      </w:r>
      <w:r w:rsidRPr="005C658A">
        <w:rPr>
          <w:rFonts w:cstheme="minorHAnsi"/>
          <w:i/>
          <w:iCs/>
          <w:sz w:val="24"/>
          <w:szCs w:val="24"/>
        </w:rPr>
        <w:t>International Journal of Organizational Leadership</w:t>
      </w:r>
      <w:r w:rsidRPr="005C658A">
        <w:rPr>
          <w:rFonts w:cstheme="minorHAnsi"/>
          <w:sz w:val="24"/>
          <w:szCs w:val="24"/>
        </w:rPr>
        <w:t xml:space="preserve">, </w:t>
      </w:r>
      <w:r w:rsidRPr="005C658A">
        <w:rPr>
          <w:rFonts w:cstheme="minorHAnsi"/>
          <w:i/>
          <w:iCs/>
          <w:sz w:val="24"/>
          <w:szCs w:val="24"/>
        </w:rPr>
        <w:t>4</w:t>
      </w:r>
      <w:r w:rsidRPr="005C658A">
        <w:rPr>
          <w:rFonts w:cstheme="minorHAnsi"/>
          <w:sz w:val="24"/>
          <w:szCs w:val="24"/>
        </w:rPr>
        <w:t xml:space="preserve">(2), 154–169. </w:t>
      </w:r>
    </w:p>
    <w:p w:rsidR="00955C42" w:rsidRPr="005706EE" w:rsidRDefault="00955C42" w:rsidP="00955C42">
      <w:pPr>
        <w:spacing w:line="240" w:lineRule="auto"/>
        <w:ind w:left="360" w:hanging="360"/>
        <w:contextualSpacing/>
        <w:rPr>
          <w:rFonts w:cstheme="minorHAnsi"/>
          <w:sz w:val="24"/>
          <w:szCs w:val="24"/>
        </w:rPr>
      </w:pPr>
      <w:r w:rsidRPr="005C658A">
        <w:rPr>
          <w:rFonts w:cstheme="minorHAnsi"/>
          <w:sz w:val="24"/>
          <w:szCs w:val="24"/>
          <w:shd w:val="clear" w:color="auto" w:fill="FFFFFF"/>
        </w:rPr>
        <w:t>Barber, B. M., &amp; Lyon, J. D. (1997). Firm size, book‐to‐market ratio, and security returns: A holdout sample of financial firms. </w:t>
      </w:r>
      <w:r w:rsidRPr="005C658A">
        <w:rPr>
          <w:rFonts w:cstheme="minorHAnsi"/>
          <w:i/>
          <w:iCs/>
          <w:sz w:val="24"/>
          <w:szCs w:val="24"/>
          <w:shd w:val="clear" w:color="auto" w:fill="FFFFFF"/>
        </w:rPr>
        <w:t>The Journal of Finance</w:t>
      </w:r>
      <w:r w:rsidRPr="005C658A">
        <w:rPr>
          <w:rFonts w:cstheme="minorHAnsi"/>
          <w:sz w:val="24"/>
          <w:szCs w:val="24"/>
          <w:shd w:val="clear" w:color="auto" w:fill="FFFFFF"/>
        </w:rPr>
        <w:t>, </w:t>
      </w:r>
      <w:r w:rsidRPr="005C658A">
        <w:rPr>
          <w:rFonts w:cstheme="minorHAnsi"/>
          <w:i/>
          <w:iCs/>
          <w:sz w:val="24"/>
          <w:szCs w:val="24"/>
          <w:shd w:val="clear" w:color="auto" w:fill="FFFFFF"/>
        </w:rPr>
        <w:t>52</w:t>
      </w:r>
      <w:r w:rsidRPr="005C658A">
        <w:rPr>
          <w:rFonts w:cstheme="minorHAnsi"/>
          <w:sz w:val="24"/>
          <w:szCs w:val="24"/>
          <w:shd w:val="clear" w:color="auto" w:fill="FFFFFF"/>
        </w:rPr>
        <w:t>(2), 875–883.</w:t>
      </w:r>
    </w:p>
    <w:p w:rsidR="00955C42" w:rsidRPr="005C658A" w:rsidRDefault="00955C42" w:rsidP="00955C42">
      <w:pPr>
        <w:spacing w:line="240" w:lineRule="auto"/>
        <w:ind w:left="360" w:hanging="360"/>
        <w:contextualSpacing/>
        <w:rPr>
          <w:rFonts w:cstheme="minorHAnsi"/>
          <w:sz w:val="24"/>
          <w:szCs w:val="24"/>
          <w:shd w:val="clear" w:color="auto" w:fill="FFFFFF"/>
        </w:rPr>
      </w:pPr>
      <w:r w:rsidRPr="005C658A">
        <w:rPr>
          <w:rFonts w:cstheme="minorHAnsi"/>
          <w:sz w:val="24"/>
          <w:szCs w:val="24"/>
          <w:shd w:val="clear" w:color="auto" w:fill="FFFFFF"/>
        </w:rPr>
        <w:t xml:space="preserve">Bartram, S. M. (2000). </w:t>
      </w:r>
      <w:proofErr w:type="gramStart"/>
      <w:r w:rsidRPr="005C658A">
        <w:rPr>
          <w:rFonts w:cstheme="minorHAnsi"/>
          <w:sz w:val="24"/>
          <w:szCs w:val="24"/>
          <w:shd w:val="clear" w:color="auto" w:fill="FFFFFF"/>
        </w:rPr>
        <w:t>Corporate risk management as a lever for shareholder value creation.</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Financial Markets, Institutions &amp; Instruments</w:t>
      </w:r>
      <w:r w:rsidRPr="005C658A">
        <w:rPr>
          <w:rFonts w:cstheme="minorHAnsi"/>
          <w:sz w:val="24"/>
          <w:szCs w:val="24"/>
          <w:shd w:val="clear" w:color="auto" w:fill="FFFFFF"/>
        </w:rPr>
        <w:t>, </w:t>
      </w:r>
      <w:r w:rsidRPr="005C658A">
        <w:rPr>
          <w:rFonts w:cstheme="minorHAnsi"/>
          <w:i/>
          <w:iCs/>
          <w:sz w:val="24"/>
          <w:szCs w:val="24"/>
          <w:shd w:val="clear" w:color="auto" w:fill="FFFFFF"/>
        </w:rPr>
        <w:t>9</w:t>
      </w:r>
      <w:r w:rsidRPr="005C658A">
        <w:rPr>
          <w:rFonts w:cstheme="minorHAnsi"/>
          <w:sz w:val="24"/>
          <w:szCs w:val="24"/>
          <w:shd w:val="clear" w:color="auto" w:fill="FFFFFF"/>
        </w:rPr>
        <w:t>(5), 279-32</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 xml:space="preserve">Black, F., Jensen, M. C., &amp; </w:t>
      </w:r>
      <w:proofErr w:type="spellStart"/>
      <w:r w:rsidRPr="005C658A">
        <w:rPr>
          <w:rFonts w:cstheme="minorHAnsi"/>
          <w:sz w:val="24"/>
          <w:szCs w:val="24"/>
          <w:shd w:val="clear" w:color="auto" w:fill="FFFFFF"/>
        </w:rPr>
        <w:t>Scholes</w:t>
      </w:r>
      <w:proofErr w:type="spellEnd"/>
      <w:r w:rsidRPr="005C658A">
        <w:rPr>
          <w:rFonts w:cstheme="minorHAnsi"/>
          <w:sz w:val="24"/>
          <w:szCs w:val="24"/>
          <w:shd w:val="clear" w:color="auto" w:fill="FFFFFF"/>
        </w:rPr>
        <w:t>, M. (1972).</w:t>
      </w:r>
      <w:proofErr w:type="gramEnd"/>
      <w:r w:rsidRPr="005C658A">
        <w:rPr>
          <w:rFonts w:cstheme="minorHAnsi"/>
          <w:sz w:val="24"/>
          <w:szCs w:val="24"/>
          <w:shd w:val="clear" w:color="auto" w:fill="FFFFFF"/>
        </w:rPr>
        <w:t xml:space="preserve"> The capital asset pricing model: Some empirical tests. </w:t>
      </w:r>
      <w:r w:rsidRPr="005C658A">
        <w:rPr>
          <w:rFonts w:cstheme="minorHAnsi"/>
          <w:i/>
          <w:iCs/>
          <w:sz w:val="24"/>
          <w:szCs w:val="24"/>
          <w:shd w:val="clear" w:color="auto" w:fill="FFFFFF"/>
        </w:rPr>
        <w:t>Studies in the theory of capital markets</w:t>
      </w:r>
      <w:r w:rsidRPr="005C658A">
        <w:rPr>
          <w:rFonts w:cstheme="minorHAnsi"/>
          <w:sz w:val="24"/>
          <w:szCs w:val="24"/>
          <w:shd w:val="clear" w:color="auto" w:fill="FFFFFF"/>
        </w:rPr>
        <w:t>, </w:t>
      </w:r>
      <w:r w:rsidRPr="005C658A">
        <w:rPr>
          <w:rFonts w:cstheme="minorHAnsi"/>
          <w:i/>
          <w:iCs/>
          <w:sz w:val="24"/>
          <w:szCs w:val="24"/>
          <w:shd w:val="clear" w:color="auto" w:fill="FFFFFF"/>
        </w:rPr>
        <w:t>81</w:t>
      </w:r>
      <w:r w:rsidRPr="005C658A">
        <w:rPr>
          <w:rFonts w:cstheme="minorHAnsi"/>
          <w:sz w:val="24"/>
          <w:szCs w:val="24"/>
          <w:shd w:val="clear" w:color="auto" w:fill="FFFFFF"/>
        </w:rPr>
        <w:t>(3), 79-121</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Booth, J. R., &amp; Officer, D. T. (1985).</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Expectations, interest rates, and commercial bank stocks.</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Journal of Financial Research</w:t>
      </w:r>
      <w:r w:rsidRPr="005C658A">
        <w:rPr>
          <w:rFonts w:cstheme="minorHAnsi"/>
          <w:sz w:val="24"/>
          <w:szCs w:val="24"/>
          <w:shd w:val="clear" w:color="auto" w:fill="FFFFFF"/>
        </w:rPr>
        <w:t>, </w:t>
      </w:r>
      <w:r w:rsidRPr="005C658A">
        <w:rPr>
          <w:rFonts w:cstheme="minorHAnsi"/>
          <w:i/>
          <w:iCs/>
          <w:sz w:val="24"/>
          <w:szCs w:val="24"/>
          <w:shd w:val="clear" w:color="auto" w:fill="FFFFFF"/>
        </w:rPr>
        <w:t>8</w:t>
      </w:r>
      <w:r w:rsidRPr="005C658A">
        <w:rPr>
          <w:rFonts w:cstheme="minorHAnsi"/>
          <w:sz w:val="24"/>
          <w:szCs w:val="24"/>
          <w:shd w:val="clear" w:color="auto" w:fill="FFFFFF"/>
        </w:rPr>
        <w:t>(1), 51-58.</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 xml:space="preserve">Bourke, P., &amp; </w:t>
      </w:r>
      <w:proofErr w:type="spellStart"/>
      <w:r w:rsidRPr="005C658A">
        <w:rPr>
          <w:rFonts w:cstheme="minorHAnsi"/>
          <w:sz w:val="24"/>
          <w:szCs w:val="24"/>
          <w:shd w:val="clear" w:color="auto" w:fill="FFFFFF"/>
        </w:rPr>
        <w:t>Shanmugam</w:t>
      </w:r>
      <w:proofErr w:type="spellEnd"/>
      <w:r w:rsidRPr="005C658A">
        <w:rPr>
          <w:rFonts w:cstheme="minorHAnsi"/>
          <w:sz w:val="24"/>
          <w:szCs w:val="24"/>
          <w:shd w:val="clear" w:color="auto" w:fill="FFFFFF"/>
        </w:rPr>
        <w:t>, B. (Eds.).</w:t>
      </w:r>
      <w:proofErr w:type="gramEnd"/>
      <w:r w:rsidRPr="005C658A">
        <w:rPr>
          <w:rFonts w:cstheme="minorHAnsi"/>
          <w:sz w:val="24"/>
          <w:szCs w:val="24"/>
          <w:shd w:val="clear" w:color="auto" w:fill="FFFFFF"/>
        </w:rPr>
        <w:t xml:space="preserve"> (1990). </w:t>
      </w:r>
      <w:proofErr w:type="gramStart"/>
      <w:r w:rsidRPr="005C658A">
        <w:rPr>
          <w:rFonts w:cstheme="minorHAnsi"/>
          <w:i/>
          <w:iCs/>
          <w:sz w:val="24"/>
          <w:szCs w:val="24"/>
          <w:shd w:val="clear" w:color="auto" w:fill="FFFFFF"/>
        </w:rPr>
        <w:t>An</w:t>
      </w:r>
      <w:proofErr w:type="gramEnd"/>
      <w:r w:rsidRPr="005C658A">
        <w:rPr>
          <w:rFonts w:cstheme="minorHAnsi"/>
          <w:i/>
          <w:iCs/>
          <w:sz w:val="24"/>
          <w:szCs w:val="24"/>
          <w:shd w:val="clear" w:color="auto" w:fill="FFFFFF"/>
        </w:rPr>
        <w:t xml:space="preserve"> introduction to bank lending</w:t>
      </w:r>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Addison-Wesley.</w:t>
      </w:r>
      <w:proofErr w:type="gramEnd"/>
    </w:p>
    <w:p w:rsidR="00955C42" w:rsidRPr="005706EE"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Choi</w:t>
      </w:r>
      <w:proofErr w:type="spellEnd"/>
      <w:r w:rsidRPr="005C658A">
        <w:rPr>
          <w:rFonts w:cstheme="minorHAnsi"/>
          <w:sz w:val="24"/>
          <w:szCs w:val="24"/>
        </w:rPr>
        <w:t xml:space="preserve">, J. J., </w:t>
      </w:r>
      <w:proofErr w:type="spellStart"/>
      <w:r w:rsidRPr="005C658A">
        <w:rPr>
          <w:rFonts w:cstheme="minorHAnsi"/>
          <w:sz w:val="24"/>
          <w:szCs w:val="24"/>
        </w:rPr>
        <w:t>Elyasiani</w:t>
      </w:r>
      <w:proofErr w:type="spellEnd"/>
      <w:r w:rsidRPr="005C658A">
        <w:rPr>
          <w:rFonts w:cstheme="minorHAnsi"/>
          <w:sz w:val="24"/>
          <w:szCs w:val="24"/>
        </w:rPr>
        <w:t xml:space="preserve">, E., &amp; </w:t>
      </w:r>
      <w:proofErr w:type="spellStart"/>
      <w:r w:rsidRPr="005C658A">
        <w:rPr>
          <w:rFonts w:cstheme="minorHAnsi"/>
          <w:sz w:val="24"/>
          <w:szCs w:val="24"/>
        </w:rPr>
        <w:t>Kopecky</w:t>
      </w:r>
      <w:proofErr w:type="spellEnd"/>
      <w:r w:rsidRPr="005C658A">
        <w:rPr>
          <w:rFonts w:cstheme="minorHAnsi"/>
          <w:sz w:val="24"/>
          <w:szCs w:val="24"/>
        </w:rPr>
        <w:t xml:space="preserve">, K. J. (1992). The sensitivity of bank stock returns to market, interest and exchange rate risks. </w:t>
      </w:r>
      <w:proofErr w:type="gramStart"/>
      <w:r w:rsidRPr="005C658A">
        <w:rPr>
          <w:rFonts w:cstheme="minorHAnsi"/>
          <w:i/>
          <w:iCs/>
          <w:sz w:val="24"/>
          <w:szCs w:val="24"/>
        </w:rPr>
        <w:t>Journal of Banking &amp; Finance</w:t>
      </w:r>
      <w:r w:rsidRPr="005C658A">
        <w:rPr>
          <w:rFonts w:cstheme="minorHAnsi"/>
          <w:sz w:val="24"/>
          <w:szCs w:val="24"/>
        </w:rPr>
        <w:t xml:space="preserve">, </w:t>
      </w:r>
      <w:r w:rsidRPr="005C658A">
        <w:rPr>
          <w:rFonts w:cstheme="minorHAnsi"/>
          <w:i/>
          <w:iCs/>
          <w:sz w:val="24"/>
          <w:szCs w:val="24"/>
        </w:rPr>
        <w:t>16</w:t>
      </w:r>
      <w:r w:rsidRPr="005C658A">
        <w:rPr>
          <w:rFonts w:cstheme="minorHAnsi"/>
          <w:sz w:val="24"/>
          <w:szCs w:val="24"/>
        </w:rPr>
        <w:t>(5), 983–1004.</w:t>
      </w:r>
      <w:proofErr w:type="gramEnd"/>
      <w:r w:rsidRPr="005C658A">
        <w:rPr>
          <w:rFonts w:cstheme="minorHAnsi"/>
          <w:sz w:val="24"/>
          <w:szCs w:val="24"/>
        </w:rPr>
        <w:t xml:space="preserve">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Choi</w:t>
      </w:r>
      <w:proofErr w:type="spellEnd"/>
      <w:r w:rsidRPr="005C658A">
        <w:rPr>
          <w:rFonts w:cstheme="minorHAnsi"/>
          <w:sz w:val="24"/>
          <w:szCs w:val="24"/>
          <w:shd w:val="clear" w:color="auto" w:fill="FFFFFF"/>
        </w:rPr>
        <w:t xml:space="preserve">, J., &amp; </w:t>
      </w:r>
      <w:proofErr w:type="spellStart"/>
      <w:r w:rsidRPr="005C658A">
        <w:rPr>
          <w:rFonts w:cstheme="minorHAnsi"/>
          <w:sz w:val="24"/>
          <w:szCs w:val="24"/>
          <w:shd w:val="clear" w:color="auto" w:fill="FFFFFF"/>
        </w:rPr>
        <w:t>Elyasiani</w:t>
      </w:r>
      <w:proofErr w:type="spellEnd"/>
      <w:r w:rsidRPr="005C658A">
        <w:rPr>
          <w:rFonts w:cstheme="minorHAnsi"/>
          <w:sz w:val="24"/>
          <w:szCs w:val="24"/>
          <w:shd w:val="clear" w:color="auto" w:fill="FFFFFF"/>
        </w:rPr>
        <w:t>, E. (1996).</w:t>
      </w:r>
      <w:proofErr w:type="gramEnd"/>
      <w:r w:rsidRPr="005C658A">
        <w:rPr>
          <w:rFonts w:cstheme="minorHAnsi"/>
          <w:sz w:val="24"/>
          <w:szCs w:val="24"/>
          <w:shd w:val="clear" w:color="auto" w:fill="FFFFFF"/>
        </w:rPr>
        <w:t> </w:t>
      </w:r>
      <w:proofErr w:type="spellStart"/>
      <w:proofErr w:type="gramStart"/>
      <w:r w:rsidRPr="005C658A">
        <w:rPr>
          <w:rFonts w:cstheme="minorHAnsi"/>
          <w:i/>
          <w:iCs/>
          <w:sz w:val="24"/>
          <w:szCs w:val="24"/>
          <w:shd w:val="clear" w:color="auto" w:fill="FFFFFF"/>
        </w:rPr>
        <w:t>ĞDerivative</w:t>
      </w:r>
      <w:proofErr w:type="spellEnd"/>
      <w:r w:rsidRPr="005C658A">
        <w:rPr>
          <w:rFonts w:cstheme="minorHAnsi"/>
          <w:i/>
          <w:iCs/>
          <w:sz w:val="24"/>
          <w:szCs w:val="24"/>
          <w:shd w:val="clear" w:color="auto" w:fill="FFFFFF"/>
        </w:rPr>
        <w:t xml:space="preserve"> Exp</w:t>
      </w:r>
      <w:r>
        <w:rPr>
          <w:rFonts w:cstheme="minorHAnsi"/>
          <w:i/>
          <w:iCs/>
          <w:sz w:val="24"/>
          <w:szCs w:val="24"/>
          <w:shd w:val="clear" w:color="auto" w:fill="FFFFFF"/>
        </w:rPr>
        <w:t xml:space="preserve">osure and the Interest Rate and </w:t>
      </w:r>
      <w:r w:rsidRPr="005C658A">
        <w:rPr>
          <w:rFonts w:cstheme="minorHAnsi"/>
          <w:i/>
          <w:iCs/>
          <w:sz w:val="24"/>
          <w:szCs w:val="24"/>
          <w:shd w:val="clear" w:color="auto" w:fill="FFFFFF"/>
        </w:rPr>
        <w:t xml:space="preserve">Exchange Rate Risks of US </w:t>
      </w:r>
      <w:proofErr w:type="spellStart"/>
      <w:r w:rsidRPr="005C658A">
        <w:rPr>
          <w:rFonts w:cstheme="minorHAnsi"/>
          <w:i/>
          <w:iCs/>
          <w:sz w:val="24"/>
          <w:szCs w:val="24"/>
          <w:shd w:val="clear" w:color="auto" w:fill="FFFFFF"/>
        </w:rPr>
        <w:t>Banksğ</w:t>
      </w:r>
      <w:proofErr w:type="spellEnd"/>
      <w:r w:rsidRPr="005C658A">
        <w:rPr>
          <w:rFonts w:cstheme="minorHAnsi"/>
          <w:sz w:val="24"/>
          <w:szCs w:val="24"/>
          <w:shd w:val="clear" w:color="auto" w:fill="FFFFFF"/>
        </w:rPr>
        <w:t>.</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Working Paper.</w:t>
      </w:r>
      <w:proofErr w:type="gramEnd"/>
    </w:p>
    <w:p w:rsidR="00955C42" w:rsidRPr="005706EE" w:rsidRDefault="00955C42" w:rsidP="00955C42">
      <w:pPr>
        <w:spacing w:line="240" w:lineRule="auto"/>
        <w:ind w:left="360" w:hanging="360"/>
        <w:contextualSpacing/>
        <w:rPr>
          <w:rFonts w:cstheme="minorHAnsi"/>
          <w:sz w:val="24"/>
          <w:szCs w:val="24"/>
        </w:rPr>
      </w:pPr>
      <w:proofErr w:type="gramStart"/>
      <w:r w:rsidRPr="005C658A">
        <w:rPr>
          <w:rFonts w:cstheme="minorHAnsi"/>
          <w:sz w:val="24"/>
          <w:szCs w:val="24"/>
        </w:rPr>
        <w:t xml:space="preserve">Cong, L., Ran, F. A., Cox, D., Lin, S., </w:t>
      </w:r>
      <w:proofErr w:type="spellStart"/>
      <w:r w:rsidRPr="005C658A">
        <w:rPr>
          <w:rFonts w:cstheme="minorHAnsi"/>
          <w:sz w:val="24"/>
          <w:szCs w:val="24"/>
        </w:rPr>
        <w:t>Barretto</w:t>
      </w:r>
      <w:proofErr w:type="spellEnd"/>
      <w:r w:rsidRPr="005C658A">
        <w:rPr>
          <w:rFonts w:cstheme="minorHAnsi"/>
          <w:sz w:val="24"/>
          <w:szCs w:val="24"/>
        </w:rPr>
        <w:t xml:space="preserve">, R., </w:t>
      </w:r>
      <w:proofErr w:type="spellStart"/>
      <w:r w:rsidRPr="005C658A">
        <w:rPr>
          <w:rFonts w:cstheme="minorHAnsi"/>
          <w:sz w:val="24"/>
          <w:szCs w:val="24"/>
        </w:rPr>
        <w:t>Habib</w:t>
      </w:r>
      <w:proofErr w:type="spellEnd"/>
      <w:r w:rsidRPr="005C658A">
        <w:rPr>
          <w:rFonts w:cstheme="minorHAnsi"/>
          <w:sz w:val="24"/>
          <w:szCs w:val="24"/>
        </w:rPr>
        <w:t>, N., &amp; Zhang, F. (2013).</w:t>
      </w:r>
      <w:proofErr w:type="gramEnd"/>
      <w:r w:rsidRPr="005C658A">
        <w:rPr>
          <w:rFonts w:cstheme="minorHAnsi"/>
          <w:sz w:val="24"/>
          <w:szCs w:val="24"/>
        </w:rPr>
        <w:t xml:space="preserve"> Multiplex genome engineering using CRISPR/</w:t>
      </w:r>
      <w:proofErr w:type="spellStart"/>
      <w:r w:rsidRPr="005C658A">
        <w:rPr>
          <w:rFonts w:cstheme="minorHAnsi"/>
          <w:sz w:val="24"/>
          <w:szCs w:val="24"/>
        </w:rPr>
        <w:t>Cas</w:t>
      </w:r>
      <w:proofErr w:type="spellEnd"/>
      <w:r w:rsidRPr="005C658A">
        <w:rPr>
          <w:rFonts w:cstheme="minorHAnsi"/>
          <w:sz w:val="24"/>
          <w:szCs w:val="24"/>
        </w:rPr>
        <w:t xml:space="preserve"> systems. </w:t>
      </w:r>
      <w:r w:rsidRPr="005C658A">
        <w:rPr>
          <w:rFonts w:cstheme="minorHAnsi"/>
          <w:i/>
          <w:iCs/>
          <w:sz w:val="24"/>
          <w:szCs w:val="24"/>
        </w:rPr>
        <w:t>Science</w:t>
      </w:r>
      <w:r w:rsidRPr="005C658A">
        <w:rPr>
          <w:rFonts w:cstheme="minorHAnsi"/>
          <w:sz w:val="24"/>
          <w:szCs w:val="24"/>
        </w:rPr>
        <w:t xml:space="preserve">, </w:t>
      </w:r>
      <w:r w:rsidRPr="005C658A">
        <w:rPr>
          <w:rFonts w:cstheme="minorHAnsi"/>
          <w:i/>
          <w:iCs/>
          <w:sz w:val="24"/>
          <w:szCs w:val="24"/>
        </w:rPr>
        <w:t>339</w:t>
      </w:r>
      <w:r w:rsidRPr="005C658A">
        <w:rPr>
          <w:rFonts w:cstheme="minorHAnsi"/>
          <w:sz w:val="24"/>
          <w:szCs w:val="24"/>
        </w:rPr>
        <w:t xml:space="preserve">(6121), 819-823.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 xml:space="preserve">Craig, R., &amp; </w:t>
      </w:r>
      <w:proofErr w:type="spellStart"/>
      <w:r w:rsidRPr="005C658A">
        <w:rPr>
          <w:rFonts w:cstheme="minorHAnsi"/>
          <w:sz w:val="24"/>
          <w:szCs w:val="24"/>
          <w:shd w:val="clear" w:color="auto" w:fill="FFFFFF"/>
        </w:rPr>
        <w:t>Diga</w:t>
      </w:r>
      <w:proofErr w:type="spellEnd"/>
      <w:r w:rsidRPr="005C658A">
        <w:rPr>
          <w:rFonts w:cstheme="minorHAnsi"/>
          <w:sz w:val="24"/>
          <w:szCs w:val="24"/>
          <w:shd w:val="clear" w:color="auto" w:fill="FFFFFF"/>
        </w:rPr>
        <w:t>, J. (1998).</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Corporate accounting disclosure in ASEAN.</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Journal of International Financial Management &amp; Accounting</w:t>
      </w:r>
      <w:r w:rsidRPr="005C658A">
        <w:rPr>
          <w:rFonts w:cstheme="minorHAnsi"/>
          <w:sz w:val="24"/>
          <w:szCs w:val="24"/>
          <w:shd w:val="clear" w:color="auto" w:fill="FFFFFF"/>
        </w:rPr>
        <w:t>, </w:t>
      </w:r>
      <w:r w:rsidRPr="005C658A">
        <w:rPr>
          <w:rFonts w:cstheme="minorHAnsi"/>
          <w:i/>
          <w:iCs/>
          <w:sz w:val="24"/>
          <w:szCs w:val="24"/>
          <w:shd w:val="clear" w:color="auto" w:fill="FFFFFF"/>
        </w:rPr>
        <w:t>9</w:t>
      </w:r>
      <w:r w:rsidRPr="005C658A">
        <w:rPr>
          <w:rFonts w:cstheme="minorHAnsi"/>
          <w:sz w:val="24"/>
          <w:szCs w:val="24"/>
          <w:shd w:val="clear" w:color="auto" w:fill="FFFFFF"/>
        </w:rPr>
        <w:t>(3), 246-274.</w:t>
      </w:r>
    </w:p>
    <w:p w:rsidR="00955C42" w:rsidRPr="005706EE"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Craigwell</w:t>
      </w:r>
      <w:proofErr w:type="spellEnd"/>
      <w:r w:rsidRPr="005C658A">
        <w:rPr>
          <w:rFonts w:cstheme="minorHAnsi"/>
          <w:sz w:val="24"/>
          <w:szCs w:val="24"/>
        </w:rPr>
        <w:t>, R., &amp; Maxwell, C. (2006).</w:t>
      </w:r>
      <w:proofErr w:type="gramEnd"/>
      <w:r w:rsidRPr="005C658A">
        <w:rPr>
          <w:rFonts w:cstheme="minorHAnsi"/>
          <w:sz w:val="24"/>
          <w:szCs w:val="24"/>
        </w:rPr>
        <w:t xml:space="preserve"> </w:t>
      </w:r>
      <w:proofErr w:type="gramStart"/>
      <w:r w:rsidRPr="005C658A">
        <w:rPr>
          <w:rFonts w:cstheme="minorHAnsi"/>
          <w:sz w:val="24"/>
          <w:szCs w:val="24"/>
        </w:rPr>
        <w:t>Non-interest income and financial performance at commercial banks in Barbados.</w:t>
      </w:r>
      <w:proofErr w:type="gramEnd"/>
      <w:r w:rsidRPr="005C658A">
        <w:rPr>
          <w:rFonts w:cstheme="minorHAnsi"/>
          <w:sz w:val="24"/>
          <w:szCs w:val="24"/>
        </w:rPr>
        <w:t xml:space="preserve"> </w:t>
      </w:r>
      <w:r w:rsidRPr="005C658A">
        <w:rPr>
          <w:rFonts w:cstheme="minorHAnsi"/>
          <w:i/>
          <w:iCs/>
          <w:sz w:val="24"/>
          <w:szCs w:val="24"/>
        </w:rPr>
        <w:t>Savings and Development</w:t>
      </w:r>
      <w:r w:rsidRPr="005C658A">
        <w:rPr>
          <w:rFonts w:cstheme="minorHAnsi"/>
          <w:sz w:val="24"/>
          <w:szCs w:val="24"/>
        </w:rPr>
        <w:t xml:space="preserve">, </w:t>
      </w:r>
      <w:r w:rsidRPr="005C658A">
        <w:rPr>
          <w:rFonts w:cstheme="minorHAnsi"/>
          <w:i/>
          <w:sz w:val="24"/>
          <w:szCs w:val="24"/>
        </w:rPr>
        <w:t>30</w:t>
      </w:r>
      <w:r w:rsidRPr="005C658A">
        <w:rPr>
          <w:rFonts w:cstheme="minorHAnsi"/>
          <w:sz w:val="24"/>
          <w:szCs w:val="24"/>
        </w:rPr>
        <w:t xml:space="preserve">(3), 309–328.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 xml:space="preserve">Dempsey, M. J., </w:t>
      </w:r>
      <w:proofErr w:type="spellStart"/>
      <w:r w:rsidRPr="005C658A">
        <w:rPr>
          <w:rFonts w:cstheme="minorHAnsi"/>
          <w:sz w:val="24"/>
          <w:szCs w:val="24"/>
          <w:shd w:val="clear" w:color="auto" w:fill="FFFFFF"/>
        </w:rPr>
        <w:t>Edirisuriya</w:t>
      </w:r>
      <w:proofErr w:type="spellEnd"/>
      <w:r w:rsidRPr="005C658A">
        <w:rPr>
          <w:rFonts w:cstheme="minorHAnsi"/>
          <w:sz w:val="24"/>
          <w:szCs w:val="24"/>
          <w:shd w:val="clear" w:color="auto" w:fill="FFFFFF"/>
        </w:rPr>
        <w:t xml:space="preserve">, P., &amp; </w:t>
      </w:r>
      <w:proofErr w:type="spellStart"/>
      <w:r w:rsidRPr="005C658A">
        <w:rPr>
          <w:rFonts w:cstheme="minorHAnsi"/>
          <w:sz w:val="24"/>
          <w:szCs w:val="24"/>
          <w:shd w:val="clear" w:color="auto" w:fill="FFFFFF"/>
        </w:rPr>
        <w:t>Gunasekarage</w:t>
      </w:r>
      <w:proofErr w:type="spellEnd"/>
      <w:r w:rsidRPr="005C658A">
        <w:rPr>
          <w:rFonts w:cstheme="minorHAnsi"/>
          <w:sz w:val="24"/>
          <w:szCs w:val="24"/>
          <w:shd w:val="clear" w:color="auto" w:fill="FFFFFF"/>
        </w:rPr>
        <w:t>, A. (2013).</w:t>
      </w:r>
      <w:proofErr w:type="gramEnd"/>
      <w:r w:rsidRPr="005C658A">
        <w:rPr>
          <w:rFonts w:cstheme="minorHAnsi"/>
          <w:sz w:val="24"/>
          <w:szCs w:val="24"/>
          <w:shd w:val="clear" w:color="auto" w:fill="FFFFFF"/>
        </w:rPr>
        <w:t xml:space="preserve"> Stock Market's Assessment of Bank Diversification: Evidence from Listed Public Banks in South Asian Countries. </w:t>
      </w:r>
      <w:proofErr w:type="gramStart"/>
      <w:r w:rsidRPr="005C658A">
        <w:rPr>
          <w:rFonts w:cstheme="minorHAnsi"/>
          <w:i/>
          <w:iCs/>
          <w:sz w:val="24"/>
          <w:szCs w:val="24"/>
          <w:shd w:val="clear" w:color="auto" w:fill="FFFFFF"/>
        </w:rPr>
        <w:t>Available at SSRN 2247775</w:t>
      </w:r>
      <w:r w:rsidRPr="005C658A">
        <w:rPr>
          <w:rFonts w:cstheme="minorHAnsi"/>
          <w:sz w:val="24"/>
          <w:szCs w:val="24"/>
          <w:shd w:val="clear" w:color="auto" w:fill="FFFFFF"/>
        </w:rPr>
        <w:t>.</w:t>
      </w:r>
      <w:proofErr w:type="gramEnd"/>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Doyran</w:t>
      </w:r>
      <w:proofErr w:type="spellEnd"/>
      <w:r w:rsidRPr="005C658A">
        <w:rPr>
          <w:rFonts w:cstheme="minorHAnsi"/>
          <w:sz w:val="24"/>
          <w:szCs w:val="24"/>
        </w:rPr>
        <w:t xml:space="preserve">, M. A. (2013). Net interest margins and firm performance in developing countries: Evidence from Argentine commercial banks. </w:t>
      </w:r>
      <w:r w:rsidRPr="005C658A">
        <w:rPr>
          <w:rFonts w:cstheme="minorHAnsi"/>
          <w:i/>
          <w:iCs/>
          <w:sz w:val="24"/>
          <w:szCs w:val="24"/>
        </w:rPr>
        <w:t>Management Research Review</w:t>
      </w:r>
      <w:r w:rsidRPr="005C658A">
        <w:rPr>
          <w:rFonts w:cstheme="minorHAnsi"/>
          <w:sz w:val="24"/>
          <w:szCs w:val="24"/>
        </w:rPr>
        <w:t xml:space="preserve">, </w:t>
      </w:r>
      <w:r w:rsidRPr="005C658A">
        <w:rPr>
          <w:rFonts w:cstheme="minorHAnsi"/>
          <w:i/>
          <w:iCs/>
          <w:sz w:val="24"/>
          <w:szCs w:val="24"/>
        </w:rPr>
        <w:t>36</w:t>
      </w:r>
      <w:r>
        <w:rPr>
          <w:rFonts w:cstheme="minorHAnsi"/>
          <w:sz w:val="24"/>
          <w:szCs w:val="24"/>
        </w:rPr>
        <w:t>(7), 720–742.</w:t>
      </w:r>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Ekinci</w:t>
      </w:r>
      <w:proofErr w:type="spellEnd"/>
      <w:r w:rsidRPr="005C658A">
        <w:rPr>
          <w:rFonts w:cstheme="minorHAnsi"/>
          <w:sz w:val="24"/>
          <w:szCs w:val="24"/>
        </w:rPr>
        <w:t xml:space="preserve">, A. (2016). The effect of credit and market risk on bank performance: Evidence from Turkey. </w:t>
      </w:r>
      <w:r w:rsidRPr="005C658A">
        <w:rPr>
          <w:rFonts w:cstheme="minorHAnsi"/>
          <w:i/>
          <w:iCs/>
          <w:sz w:val="24"/>
          <w:szCs w:val="24"/>
        </w:rPr>
        <w:t>International Journal of Economics and Financial Issues</w:t>
      </w:r>
      <w:r w:rsidRPr="005C658A">
        <w:rPr>
          <w:rFonts w:cstheme="minorHAnsi"/>
          <w:sz w:val="24"/>
          <w:szCs w:val="24"/>
        </w:rPr>
        <w:t xml:space="preserve">, </w:t>
      </w:r>
      <w:r w:rsidRPr="005C658A">
        <w:rPr>
          <w:rFonts w:cstheme="minorHAnsi"/>
          <w:i/>
          <w:iCs/>
          <w:sz w:val="24"/>
          <w:szCs w:val="24"/>
        </w:rPr>
        <w:t>6</w:t>
      </w:r>
      <w:r w:rsidRPr="005C658A">
        <w:rPr>
          <w:rFonts w:cstheme="minorHAnsi"/>
          <w:sz w:val="24"/>
          <w:szCs w:val="24"/>
        </w:rPr>
        <w:t>(2), 427–434.</w:t>
      </w:r>
    </w:p>
    <w:p w:rsidR="00955C42" w:rsidRPr="005706EE"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Elyasiani</w:t>
      </w:r>
      <w:proofErr w:type="spellEnd"/>
      <w:r w:rsidRPr="005C658A">
        <w:rPr>
          <w:rFonts w:cstheme="minorHAnsi"/>
          <w:sz w:val="24"/>
          <w:szCs w:val="24"/>
        </w:rPr>
        <w:t>, E., &amp; Mansur, I. (2004).</w:t>
      </w:r>
      <w:proofErr w:type="gramEnd"/>
      <w:r w:rsidRPr="005C658A">
        <w:rPr>
          <w:rFonts w:cstheme="minorHAnsi"/>
          <w:sz w:val="24"/>
          <w:szCs w:val="24"/>
        </w:rPr>
        <w:t xml:space="preserve"> Bank stock return sensitivities to the long-term and short-term interest rates: A multivariate GARCH </w:t>
      </w:r>
      <w:proofErr w:type="spellStart"/>
      <w:r w:rsidRPr="005C658A">
        <w:rPr>
          <w:rFonts w:cstheme="minorHAnsi"/>
          <w:sz w:val="24"/>
          <w:szCs w:val="24"/>
        </w:rPr>
        <w:t>spproach</w:t>
      </w:r>
      <w:proofErr w:type="spellEnd"/>
      <w:r w:rsidRPr="005C658A">
        <w:rPr>
          <w:rFonts w:cstheme="minorHAnsi"/>
          <w:sz w:val="24"/>
          <w:szCs w:val="24"/>
        </w:rPr>
        <w:t xml:space="preserve">. </w:t>
      </w:r>
      <w:r w:rsidRPr="005C658A">
        <w:rPr>
          <w:rFonts w:cstheme="minorHAnsi"/>
          <w:i/>
          <w:iCs/>
          <w:sz w:val="24"/>
          <w:szCs w:val="24"/>
        </w:rPr>
        <w:t>Managerial Finance</w:t>
      </w:r>
      <w:r w:rsidRPr="005C658A">
        <w:rPr>
          <w:rFonts w:cstheme="minorHAnsi"/>
          <w:sz w:val="24"/>
          <w:szCs w:val="24"/>
        </w:rPr>
        <w:t xml:space="preserve">, </w:t>
      </w:r>
      <w:r w:rsidRPr="005C658A">
        <w:rPr>
          <w:rFonts w:cstheme="minorHAnsi"/>
          <w:i/>
          <w:iCs/>
          <w:sz w:val="24"/>
          <w:szCs w:val="24"/>
        </w:rPr>
        <w:t>30</w:t>
      </w:r>
      <w:r w:rsidRPr="005C658A">
        <w:rPr>
          <w:rFonts w:cstheme="minorHAnsi"/>
          <w:sz w:val="24"/>
          <w:szCs w:val="24"/>
        </w:rPr>
        <w:t xml:space="preserve">(9), 32–55.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r w:rsidRPr="005C658A">
        <w:rPr>
          <w:rFonts w:cstheme="minorHAnsi"/>
          <w:sz w:val="24"/>
          <w:szCs w:val="24"/>
          <w:shd w:val="clear" w:color="auto" w:fill="FFFFFF"/>
        </w:rPr>
        <w:lastRenderedPageBreak/>
        <w:t>Fama</w:t>
      </w:r>
      <w:proofErr w:type="spellEnd"/>
      <w:r w:rsidRPr="005C658A">
        <w:rPr>
          <w:rFonts w:cstheme="minorHAnsi"/>
          <w:sz w:val="24"/>
          <w:szCs w:val="24"/>
          <w:shd w:val="clear" w:color="auto" w:fill="FFFFFF"/>
        </w:rPr>
        <w:t xml:space="preserve">, E. F. (1973). </w:t>
      </w:r>
      <w:proofErr w:type="gramStart"/>
      <w:r w:rsidRPr="005C658A">
        <w:rPr>
          <w:rFonts w:cstheme="minorHAnsi"/>
          <w:sz w:val="24"/>
          <w:szCs w:val="24"/>
          <w:shd w:val="clear" w:color="auto" w:fill="FFFFFF"/>
        </w:rPr>
        <w:t>A note on the market model and the two-parameter model.</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The Journal of Finance</w:t>
      </w:r>
      <w:r w:rsidRPr="005C658A">
        <w:rPr>
          <w:rFonts w:cstheme="minorHAnsi"/>
          <w:sz w:val="24"/>
          <w:szCs w:val="24"/>
          <w:shd w:val="clear" w:color="auto" w:fill="FFFFFF"/>
        </w:rPr>
        <w:t>, </w:t>
      </w:r>
      <w:r w:rsidRPr="005C658A">
        <w:rPr>
          <w:rFonts w:cstheme="minorHAnsi"/>
          <w:i/>
          <w:iCs/>
          <w:sz w:val="24"/>
          <w:szCs w:val="24"/>
          <w:shd w:val="clear" w:color="auto" w:fill="FFFFFF"/>
        </w:rPr>
        <w:t>28</w:t>
      </w:r>
      <w:r w:rsidRPr="005C658A">
        <w:rPr>
          <w:rFonts w:cstheme="minorHAnsi"/>
          <w:sz w:val="24"/>
          <w:szCs w:val="24"/>
          <w:shd w:val="clear" w:color="auto" w:fill="FFFFFF"/>
        </w:rPr>
        <w:t>(5), 1181-1185.</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Fama</w:t>
      </w:r>
      <w:proofErr w:type="spellEnd"/>
      <w:r w:rsidRPr="005C658A">
        <w:rPr>
          <w:rFonts w:cstheme="minorHAnsi"/>
          <w:sz w:val="24"/>
          <w:szCs w:val="24"/>
          <w:shd w:val="clear" w:color="auto" w:fill="FFFFFF"/>
        </w:rPr>
        <w:t>, E. F., &amp; French, K. R. (1992).</w:t>
      </w:r>
      <w:proofErr w:type="gramEnd"/>
      <w:r w:rsidRPr="005C658A">
        <w:rPr>
          <w:rFonts w:cstheme="minorHAnsi"/>
          <w:sz w:val="24"/>
          <w:szCs w:val="24"/>
          <w:shd w:val="clear" w:color="auto" w:fill="FFFFFF"/>
        </w:rPr>
        <w:t xml:space="preserve"> The cross‐section of expected stock returns. </w:t>
      </w:r>
      <w:proofErr w:type="gramStart"/>
      <w:r w:rsidRPr="005C658A">
        <w:rPr>
          <w:rFonts w:cstheme="minorHAnsi"/>
          <w:i/>
          <w:iCs/>
          <w:sz w:val="24"/>
          <w:szCs w:val="24"/>
          <w:shd w:val="clear" w:color="auto" w:fill="FFFFFF"/>
        </w:rPr>
        <w:t>the</w:t>
      </w:r>
      <w:proofErr w:type="gramEnd"/>
      <w:r w:rsidRPr="005C658A">
        <w:rPr>
          <w:rFonts w:cstheme="minorHAnsi"/>
          <w:i/>
          <w:iCs/>
          <w:sz w:val="24"/>
          <w:szCs w:val="24"/>
          <w:shd w:val="clear" w:color="auto" w:fill="FFFFFF"/>
        </w:rPr>
        <w:t xml:space="preserve"> Journal of Finance</w:t>
      </w:r>
      <w:r w:rsidRPr="005C658A">
        <w:rPr>
          <w:rFonts w:cstheme="minorHAnsi"/>
          <w:sz w:val="24"/>
          <w:szCs w:val="24"/>
          <w:shd w:val="clear" w:color="auto" w:fill="FFFFFF"/>
        </w:rPr>
        <w:t>, </w:t>
      </w:r>
      <w:r w:rsidRPr="005C658A">
        <w:rPr>
          <w:rFonts w:cstheme="minorHAnsi"/>
          <w:i/>
          <w:iCs/>
          <w:sz w:val="24"/>
          <w:szCs w:val="24"/>
          <w:shd w:val="clear" w:color="auto" w:fill="FFFFFF"/>
        </w:rPr>
        <w:t>47</w:t>
      </w:r>
      <w:r w:rsidRPr="005C658A">
        <w:rPr>
          <w:rFonts w:cstheme="minorHAnsi"/>
          <w:sz w:val="24"/>
          <w:szCs w:val="24"/>
          <w:shd w:val="clear" w:color="auto" w:fill="FFFFFF"/>
        </w:rPr>
        <w:t>(2), 427-465.</w:t>
      </w:r>
    </w:p>
    <w:p w:rsidR="00955C42" w:rsidRPr="005C658A"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Fama</w:t>
      </w:r>
      <w:proofErr w:type="spellEnd"/>
      <w:r w:rsidRPr="005C658A">
        <w:rPr>
          <w:rFonts w:cstheme="minorHAnsi"/>
          <w:sz w:val="24"/>
          <w:szCs w:val="24"/>
        </w:rPr>
        <w:t xml:space="preserve">, E. F., &amp; </w:t>
      </w:r>
      <w:proofErr w:type="spellStart"/>
      <w:r w:rsidRPr="005C658A">
        <w:rPr>
          <w:rFonts w:cstheme="minorHAnsi"/>
          <w:sz w:val="24"/>
          <w:szCs w:val="24"/>
        </w:rPr>
        <w:t>MacBeth</w:t>
      </w:r>
      <w:proofErr w:type="spellEnd"/>
      <w:r w:rsidRPr="005C658A">
        <w:rPr>
          <w:rFonts w:cstheme="minorHAnsi"/>
          <w:sz w:val="24"/>
          <w:szCs w:val="24"/>
        </w:rPr>
        <w:t>, J. D. (1973).</w:t>
      </w:r>
      <w:proofErr w:type="gramEnd"/>
      <w:r w:rsidRPr="005C658A">
        <w:rPr>
          <w:rFonts w:cstheme="minorHAnsi"/>
          <w:sz w:val="24"/>
          <w:szCs w:val="24"/>
        </w:rPr>
        <w:t xml:space="preserve"> Risk, return, and equilibrium: Empirical tests. </w:t>
      </w:r>
      <w:r w:rsidRPr="005C658A">
        <w:rPr>
          <w:rFonts w:cstheme="minorHAnsi"/>
          <w:i/>
          <w:iCs/>
          <w:sz w:val="24"/>
          <w:szCs w:val="24"/>
        </w:rPr>
        <w:t>Journal of Political Economy</w:t>
      </w:r>
      <w:r w:rsidRPr="005C658A">
        <w:rPr>
          <w:rFonts w:cstheme="minorHAnsi"/>
          <w:sz w:val="24"/>
          <w:szCs w:val="24"/>
        </w:rPr>
        <w:t xml:space="preserve">, </w:t>
      </w:r>
      <w:r w:rsidRPr="005C658A">
        <w:rPr>
          <w:rFonts w:cstheme="minorHAnsi"/>
          <w:i/>
          <w:iCs/>
          <w:sz w:val="24"/>
          <w:szCs w:val="24"/>
        </w:rPr>
        <w:t>81</w:t>
      </w:r>
      <w:r w:rsidRPr="005C658A">
        <w:rPr>
          <w:rFonts w:cstheme="minorHAnsi"/>
          <w:sz w:val="24"/>
          <w:szCs w:val="24"/>
        </w:rPr>
        <w:t xml:space="preserve">(3), 607–636. </w:t>
      </w:r>
    </w:p>
    <w:p w:rsidR="00955C42" w:rsidRPr="005C658A" w:rsidRDefault="00955C42" w:rsidP="00955C42">
      <w:pPr>
        <w:spacing w:line="240" w:lineRule="auto"/>
        <w:ind w:left="360" w:hanging="360"/>
        <w:contextualSpacing/>
        <w:rPr>
          <w:rFonts w:cstheme="minorHAnsi"/>
          <w:sz w:val="24"/>
          <w:szCs w:val="24"/>
        </w:rPr>
      </w:pPr>
      <w:r w:rsidRPr="005C658A">
        <w:rPr>
          <w:rFonts w:cstheme="minorHAnsi"/>
          <w:sz w:val="24"/>
          <w:szCs w:val="24"/>
        </w:rPr>
        <w:t xml:space="preserve">Fan, L., &amp; Shaffer, S. (2004). </w:t>
      </w:r>
      <w:proofErr w:type="gramStart"/>
      <w:r w:rsidRPr="005C658A">
        <w:rPr>
          <w:rFonts w:cstheme="minorHAnsi"/>
          <w:sz w:val="24"/>
          <w:szCs w:val="24"/>
        </w:rPr>
        <w:t>Efficiency versus risk in large domestic US banks.</w:t>
      </w:r>
      <w:proofErr w:type="gramEnd"/>
      <w:r w:rsidRPr="005C658A">
        <w:rPr>
          <w:rFonts w:cstheme="minorHAnsi"/>
          <w:sz w:val="24"/>
          <w:szCs w:val="24"/>
        </w:rPr>
        <w:t xml:space="preserve"> </w:t>
      </w:r>
      <w:r w:rsidRPr="005C658A">
        <w:rPr>
          <w:rFonts w:cstheme="minorHAnsi"/>
          <w:i/>
          <w:iCs/>
          <w:sz w:val="24"/>
          <w:szCs w:val="24"/>
        </w:rPr>
        <w:t xml:space="preserve">Managerial Finance, </w:t>
      </w:r>
      <w:r w:rsidRPr="005C658A">
        <w:rPr>
          <w:rFonts w:cstheme="minorHAnsi"/>
          <w:sz w:val="24"/>
          <w:szCs w:val="24"/>
        </w:rPr>
        <w:t xml:space="preserve">30(9), 1–19. </w:t>
      </w:r>
    </w:p>
    <w:p w:rsidR="00955C42" w:rsidRPr="005706EE" w:rsidRDefault="00955C42" w:rsidP="00955C42">
      <w:pPr>
        <w:spacing w:line="240" w:lineRule="auto"/>
        <w:ind w:left="360" w:hanging="360"/>
        <w:contextualSpacing/>
        <w:rPr>
          <w:rFonts w:cstheme="minorHAnsi"/>
          <w:sz w:val="24"/>
          <w:szCs w:val="24"/>
        </w:rPr>
      </w:pPr>
      <w:proofErr w:type="gramStart"/>
      <w:r w:rsidRPr="005C658A">
        <w:rPr>
          <w:rFonts w:cstheme="minorHAnsi"/>
          <w:sz w:val="24"/>
          <w:szCs w:val="24"/>
        </w:rPr>
        <w:t>Farrell, J. L., &amp; Reinhart, W. J. (1997).</w:t>
      </w:r>
      <w:proofErr w:type="gramEnd"/>
      <w:r w:rsidRPr="005C658A">
        <w:rPr>
          <w:rFonts w:cstheme="minorHAnsi"/>
          <w:sz w:val="24"/>
          <w:szCs w:val="24"/>
        </w:rPr>
        <w:t xml:space="preserve"> </w:t>
      </w:r>
      <w:r w:rsidRPr="005C658A">
        <w:rPr>
          <w:rFonts w:cstheme="minorHAnsi"/>
          <w:i/>
          <w:iCs/>
          <w:sz w:val="24"/>
          <w:szCs w:val="24"/>
        </w:rPr>
        <w:t>Portfolio management: Theory and application</w:t>
      </w:r>
      <w:r w:rsidRPr="005C658A">
        <w:rPr>
          <w:rFonts w:cstheme="minorHAnsi"/>
          <w:sz w:val="24"/>
          <w:szCs w:val="24"/>
        </w:rPr>
        <w:t xml:space="preserve">. </w:t>
      </w:r>
      <w:proofErr w:type="gramStart"/>
      <w:r w:rsidRPr="005C658A">
        <w:rPr>
          <w:rFonts w:cstheme="minorHAnsi"/>
          <w:sz w:val="24"/>
          <w:szCs w:val="24"/>
        </w:rPr>
        <w:t>McGraw- Hill.</w:t>
      </w:r>
      <w:proofErr w:type="gramEnd"/>
      <w:r w:rsidRPr="005C658A">
        <w:rPr>
          <w:rFonts w:cstheme="minorHAnsi"/>
          <w:sz w:val="24"/>
          <w:szCs w:val="24"/>
        </w:rPr>
        <w:t xml:space="preserve">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Fatemi</w:t>
      </w:r>
      <w:proofErr w:type="spellEnd"/>
      <w:r w:rsidRPr="005C658A">
        <w:rPr>
          <w:rFonts w:cstheme="minorHAnsi"/>
          <w:sz w:val="24"/>
          <w:szCs w:val="24"/>
          <w:shd w:val="clear" w:color="auto" w:fill="FFFFFF"/>
        </w:rPr>
        <w:t xml:space="preserve">, A., &amp; </w:t>
      </w:r>
      <w:proofErr w:type="spellStart"/>
      <w:r w:rsidRPr="005C658A">
        <w:rPr>
          <w:rFonts w:cstheme="minorHAnsi"/>
          <w:sz w:val="24"/>
          <w:szCs w:val="24"/>
          <w:shd w:val="clear" w:color="auto" w:fill="FFFFFF"/>
        </w:rPr>
        <w:t>Fooladi</w:t>
      </w:r>
      <w:proofErr w:type="spellEnd"/>
      <w:r w:rsidRPr="005C658A">
        <w:rPr>
          <w:rFonts w:cstheme="minorHAnsi"/>
          <w:sz w:val="24"/>
          <w:szCs w:val="24"/>
          <w:shd w:val="clear" w:color="auto" w:fill="FFFFFF"/>
        </w:rPr>
        <w:t>, I. (2006).</w:t>
      </w:r>
      <w:proofErr w:type="gramEnd"/>
      <w:r w:rsidRPr="005C658A">
        <w:rPr>
          <w:rFonts w:cstheme="minorHAnsi"/>
          <w:sz w:val="24"/>
          <w:szCs w:val="24"/>
          <w:shd w:val="clear" w:color="auto" w:fill="FFFFFF"/>
        </w:rPr>
        <w:t xml:space="preserve"> Credit risk management: a survey of practices. </w:t>
      </w:r>
      <w:r w:rsidRPr="005C658A">
        <w:rPr>
          <w:rFonts w:cstheme="minorHAnsi"/>
          <w:i/>
          <w:iCs/>
          <w:sz w:val="24"/>
          <w:szCs w:val="24"/>
          <w:shd w:val="clear" w:color="auto" w:fill="FFFFFF"/>
        </w:rPr>
        <w:t>Managerial Finance</w:t>
      </w:r>
      <w:r w:rsidRPr="005C658A">
        <w:rPr>
          <w:rFonts w:cstheme="minorHAnsi"/>
          <w:sz w:val="24"/>
          <w:szCs w:val="24"/>
          <w:shd w:val="clear" w:color="auto" w:fill="FFFFFF"/>
        </w:rPr>
        <w:t>, </w:t>
      </w:r>
      <w:r w:rsidRPr="005C658A">
        <w:rPr>
          <w:rFonts w:cstheme="minorHAnsi"/>
          <w:i/>
          <w:iCs/>
          <w:sz w:val="24"/>
          <w:szCs w:val="24"/>
          <w:shd w:val="clear" w:color="auto" w:fill="FFFFFF"/>
        </w:rPr>
        <w:t>32</w:t>
      </w:r>
      <w:r w:rsidRPr="005C658A">
        <w:rPr>
          <w:rFonts w:cstheme="minorHAnsi"/>
          <w:sz w:val="24"/>
          <w:szCs w:val="24"/>
          <w:shd w:val="clear" w:color="auto" w:fill="FFFFFF"/>
        </w:rPr>
        <w:t>(3), 227-233.</w:t>
      </w:r>
    </w:p>
    <w:p w:rsidR="00955C42" w:rsidRPr="005C658A"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Fathi</w:t>
      </w:r>
      <w:proofErr w:type="spellEnd"/>
      <w:r w:rsidRPr="005C658A">
        <w:rPr>
          <w:rFonts w:cstheme="minorHAnsi"/>
          <w:sz w:val="24"/>
          <w:szCs w:val="24"/>
        </w:rPr>
        <w:t xml:space="preserve">, S., </w:t>
      </w:r>
      <w:proofErr w:type="spellStart"/>
      <w:r w:rsidRPr="005C658A">
        <w:rPr>
          <w:rFonts w:cstheme="minorHAnsi"/>
          <w:sz w:val="24"/>
          <w:szCs w:val="24"/>
        </w:rPr>
        <w:t>Zarei</w:t>
      </w:r>
      <w:proofErr w:type="spellEnd"/>
      <w:r w:rsidRPr="005C658A">
        <w:rPr>
          <w:rFonts w:cstheme="minorHAnsi"/>
          <w:sz w:val="24"/>
          <w:szCs w:val="24"/>
        </w:rPr>
        <w:t xml:space="preserve">, F., &amp; </w:t>
      </w:r>
      <w:proofErr w:type="spellStart"/>
      <w:r w:rsidRPr="005C658A">
        <w:rPr>
          <w:rFonts w:cstheme="minorHAnsi"/>
          <w:sz w:val="24"/>
          <w:szCs w:val="24"/>
        </w:rPr>
        <w:t>Esfahani</w:t>
      </w:r>
      <w:proofErr w:type="spellEnd"/>
      <w:r w:rsidRPr="005C658A">
        <w:rPr>
          <w:rFonts w:cstheme="minorHAnsi"/>
          <w:sz w:val="24"/>
          <w:szCs w:val="24"/>
        </w:rPr>
        <w:t>, S. S. (2012).</w:t>
      </w:r>
      <w:proofErr w:type="gramEnd"/>
      <w:r w:rsidRPr="005C658A">
        <w:rPr>
          <w:rFonts w:cstheme="minorHAnsi"/>
          <w:sz w:val="24"/>
          <w:szCs w:val="24"/>
        </w:rPr>
        <w:t xml:space="preserve"> </w:t>
      </w:r>
      <w:proofErr w:type="gramStart"/>
      <w:r w:rsidRPr="005C658A">
        <w:rPr>
          <w:rFonts w:cstheme="minorHAnsi"/>
          <w:sz w:val="24"/>
          <w:szCs w:val="24"/>
        </w:rPr>
        <w:t>Studying the role of financial risk management on return on equity.</w:t>
      </w:r>
      <w:proofErr w:type="gramEnd"/>
      <w:r w:rsidRPr="005C658A">
        <w:rPr>
          <w:rFonts w:cstheme="minorHAnsi"/>
          <w:sz w:val="24"/>
          <w:szCs w:val="24"/>
        </w:rPr>
        <w:t xml:space="preserve"> </w:t>
      </w:r>
      <w:r w:rsidRPr="005C658A">
        <w:rPr>
          <w:rFonts w:cstheme="minorHAnsi"/>
          <w:i/>
          <w:iCs/>
          <w:sz w:val="24"/>
          <w:szCs w:val="24"/>
        </w:rPr>
        <w:t>International Journal of Business and Management</w:t>
      </w:r>
      <w:r w:rsidRPr="005C658A">
        <w:rPr>
          <w:rFonts w:cstheme="minorHAnsi"/>
          <w:sz w:val="24"/>
          <w:szCs w:val="24"/>
        </w:rPr>
        <w:t xml:space="preserve">, </w:t>
      </w:r>
      <w:r w:rsidRPr="005C658A">
        <w:rPr>
          <w:rFonts w:cstheme="minorHAnsi"/>
          <w:i/>
          <w:iCs/>
          <w:sz w:val="24"/>
          <w:szCs w:val="24"/>
        </w:rPr>
        <w:t>7</w:t>
      </w:r>
      <w:r w:rsidRPr="005C658A">
        <w:rPr>
          <w:rFonts w:cstheme="minorHAnsi"/>
          <w:sz w:val="24"/>
          <w:szCs w:val="24"/>
        </w:rPr>
        <w:t>(9), 215–</w:t>
      </w:r>
      <w:proofErr w:type="gramStart"/>
      <w:r w:rsidRPr="005C658A">
        <w:rPr>
          <w:rFonts w:cstheme="minorHAnsi"/>
          <w:sz w:val="24"/>
          <w:szCs w:val="24"/>
        </w:rPr>
        <w:t>221 .</w:t>
      </w:r>
      <w:proofErr w:type="gramEnd"/>
      <w:r w:rsidRPr="005C658A">
        <w:rPr>
          <w:rFonts w:cstheme="minorHAnsi"/>
          <w:sz w:val="24"/>
          <w:szCs w:val="24"/>
        </w:rPr>
        <w:t xml:space="preserve"> </w:t>
      </w:r>
    </w:p>
    <w:p w:rsidR="00955C42" w:rsidRPr="005706EE" w:rsidRDefault="00955C42" w:rsidP="00955C42">
      <w:pPr>
        <w:spacing w:line="240" w:lineRule="auto"/>
        <w:ind w:left="360" w:hanging="360"/>
        <w:contextualSpacing/>
        <w:rPr>
          <w:rFonts w:cstheme="minorHAnsi"/>
          <w:sz w:val="24"/>
          <w:szCs w:val="24"/>
        </w:rPr>
      </w:pPr>
      <w:proofErr w:type="gramStart"/>
      <w:r w:rsidRPr="005C658A">
        <w:rPr>
          <w:rFonts w:cstheme="minorHAnsi"/>
          <w:sz w:val="24"/>
          <w:szCs w:val="24"/>
        </w:rPr>
        <w:t>Flannery, M. J., &amp; James, C. M. (1984).</w:t>
      </w:r>
      <w:proofErr w:type="gramEnd"/>
      <w:r w:rsidRPr="005C658A">
        <w:rPr>
          <w:rFonts w:cstheme="minorHAnsi"/>
          <w:sz w:val="24"/>
          <w:szCs w:val="24"/>
        </w:rPr>
        <w:t xml:space="preserve"> The effect of interest rate changes on the common stock returns of financial institutions. </w:t>
      </w:r>
      <w:r w:rsidRPr="005C658A">
        <w:rPr>
          <w:rFonts w:cstheme="minorHAnsi"/>
          <w:i/>
          <w:iCs/>
          <w:sz w:val="24"/>
          <w:szCs w:val="24"/>
        </w:rPr>
        <w:t>The Journal of Finance</w:t>
      </w:r>
      <w:r w:rsidRPr="005C658A">
        <w:rPr>
          <w:rFonts w:cstheme="minorHAnsi"/>
          <w:sz w:val="24"/>
          <w:szCs w:val="24"/>
        </w:rPr>
        <w:t xml:space="preserve">, </w:t>
      </w:r>
      <w:r w:rsidRPr="005C658A">
        <w:rPr>
          <w:rFonts w:cstheme="minorHAnsi"/>
          <w:i/>
          <w:iCs/>
          <w:sz w:val="24"/>
          <w:szCs w:val="24"/>
        </w:rPr>
        <w:t>39</w:t>
      </w:r>
      <w:r w:rsidRPr="005C658A">
        <w:rPr>
          <w:rFonts w:cstheme="minorHAnsi"/>
          <w:sz w:val="24"/>
          <w:szCs w:val="24"/>
        </w:rPr>
        <w:t xml:space="preserve">(4), 1141–1153.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Gamra</w:t>
      </w:r>
      <w:proofErr w:type="spellEnd"/>
      <w:r w:rsidRPr="005C658A">
        <w:rPr>
          <w:rFonts w:cstheme="minorHAnsi"/>
          <w:sz w:val="24"/>
          <w:szCs w:val="24"/>
          <w:shd w:val="clear" w:color="auto" w:fill="FFFFFF"/>
        </w:rPr>
        <w:t xml:space="preserve">, S. B., &amp; </w:t>
      </w:r>
      <w:proofErr w:type="spellStart"/>
      <w:r w:rsidRPr="005C658A">
        <w:rPr>
          <w:rFonts w:cstheme="minorHAnsi"/>
          <w:sz w:val="24"/>
          <w:szCs w:val="24"/>
          <w:shd w:val="clear" w:color="auto" w:fill="FFFFFF"/>
        </w:rPr>
        <w:t>Plihon</w:t>
      </w:r>
      <w:proofErr w:type="spellEnd"/>
      <w:r w:rsidRPr="005C658A">
        <w:rPr>
          <w:rFonts w:cstheme="minorHAnsi"/>
          <w:sz w:val="24"/>
          <w:szCs w:val="24"/>
          <w:shd w:val="clear" w:color="auto" w:fill="FFFFFF"/>
        </w:rPr>
        <w:t>, D. (2011).</w:t>
      </w:r>
      <w:proofErr w:type="gramEnd"/>
      <w:r w:rsidRPr="005C658A">
        <w:rPr>
          <w:rFonts w:cstheme="minorHAnsi"/>
          <w:sz w:val="24"/>
          <w:szCs w:val="24"/>
          <w:shd w:val="clear" w:color="auto" w:fill="FFFFFF"/>
        </w:rPr>
        <w:t xml:space="preserve"> Revenue diversification in emerging market banks: implications for financial performance. </w:t>
      </w:r>
      <w:proofErr w:type="spellStart"/>
      <w:proofErr w:type="gramStart"/>
      <w:r w:rsidRPr="005C658A">
        <w:rPr>
          <w:rFonts w:cstheme="minorHAnsi"/>
          <w:i/>
          <w:iCs/>
          <w:sz w:val="24"/>
          <w:szCs w:val="24"/>
          <w:shd w:val="clear" w:color="auto" w:fill="FFFFFF"/>
        </w:rPr>
        <w:t>arXiv</w:t>
      </w:r>
      <w:proofErr w:type="spellEnd"/>
      <w:proofErr w:type="gramEnd"/>
      <w:r w:rsidRPr="005C658A">
        <w:rPr>
          <w:rFonts w:cstheme="minorHAnsi"/>
          <w:i/>
          <w:iCs/>
          <w:sz w:val="24"/>
          <w:szCs w:val="24"/>
          <w:shd w:val="clear" w:color="auto" w:fill="FFFFFF"/>
        </w:rPr>
        <w:t xml:space="preserve"> preprint arXiv:1107.0170</w:t>
      </w:r>
      <w:r w:rsidRPr="005C658A">
        <w:rPr>
          <w:rFonts w:cstheme="minorHAnsi"/>
          <w:sz w:val="24"/>
          <w:szCs w:val="24"/>
          <w:shd w:val="clear" w:color="auto" w:fill="FFFFFF"/>
        </w:rPr>
        <w:t>.</w:t>
      </w:r>
    </w:p>
    <w:p w:rsidR="00955C42" w:rsidRPr="005706EE"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Georgios</w:t>
      </w:r>
      <w:proofErr w:type="spellEnd"/>
      <w:r w:rsidRPr="005C658A">
        <w:rPr>
          <w:rFonts w:cstheme="minorHAnsi"/>
          <w:sz w:val="24"/>
          <w:szCs w:val="24"/>
          <w:shd w:val="clear" w:color="auto" w:fill="FFFFFF"/>
        </w:rPr>
        <w:t xml:space="preserve">, K., &amp; </w:t>
      </w:r>
      <w:proofErr w:type="spellStart"/>
      <w:r w:rsidRPr="005C658A">
        <w:rPr>
          <w:rFonts w:cstheme="minorHAnsi"/>
          <w:sz w:val="24"/>
          <w:szCs w:val="24"/>
          <w:shd w:val="clear" w:color="auto" w:fill="FFFFFF"/>
        </w:rPr>
        <w:t>Georgios</w:t>
      </w:r>
      <w:proofErr w:type="spellEnd"/>
      <w:r w:rsidRPr="005C658A">
        <w:rPr>
          <w:rFonts w:cstheme="minorHAnsi"/>
          <w:sz w:val="24"/>
          <w:szCs w:val="24"/>
          <w:shd w:val="clear" w:color="auto" w:fill="FFFFFF"/>
        </w:rPr>
        <w:t>, H. (2011).</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 xml:space="preserve">Du Pont analysis of a bank merger and acquisition between </w:t>
      </w:r>
      <w:proofErr w:type="spellStart"/>
      <w:r w:rsidRPr="005C658A">
        <w:rPr>
          <w:rFonts w:cstheme="minorHAnsi"/>
          <w:sz w:val="24"/>
          <w:szCs w:val="24"/>
          <w:shd w:val="clear" w:color="auto" w:fill="FFFFFF"/>
        </w:rPr>
        <w:t>Laiki</w:t>
      </w:r>
      <w:proofErr w:type="spellEnd"/>
      <w:r w:rsidRPr="005C658A">
        <w:rPr>
          <w:rFonts w:cstheme="minorHAnsi"/>
          <w:sz w:val="24"/>
          <w:szCs w:val="24"/>
          <w:shd w:val="clear" w:color="auto" w:fill="FFFFFF"/>
        </w:rPr>
        <w:t xml:space="preserve"> Bank from Cyprus and </w:t>
      </w:r>
      <w:proofErr w:type="spellStart"/>
      <w:r w:rsidRPr="005C658A">
        <w:rPr>
          <w:rFonts w:cstheme="minorHAnsi"/>
          <w:sz w:val="24"/>
          <w:szCs w:val="24"/>
          <w:shd w:val="clear" w:color="auto" w:fill="FFFFFF"/>
        </w:rPr>
        <w:t>Marfin</w:t>
      </w:r>
      <w:proofErr w:type="spellEnd"/>
      <w:r w:rsidRPr="005C658A">
        <w:rPr>
          <w:rFonts w:cstheme="minorHAnsi"/>
          <w:sz w:val="24"/>
          <w:szCs w:val="24"/>
          <w:shd w:val="clear" w:color="auto" w:fill="FFFFFF"/>
        </w:rPr>
        <w:t xml:space="preserve"> Investment Group from Greece.</w:t>
      </w:r>
      <w:proofErr w:type="gramEnd"/>
      <w:r w:rsidRPr="005C658A">
        <w:rPr>
          <w:rFonts w:cstheme="minorHAnsi"/>
          <w:sz w:val="24"/>
          <w:szCs w:val="24"/>
          <w:shd w:val="clear" w:color="auto" w:fill="FFFFFF"/>
        </w:rPr>
        <w:t xml:space="preserve"> Is there an increase of profitability of the </w:t>
      </w:r>
      <w:proofErr w:type="spellStart"/>
      <w:r w:rsidRPr="005C658A">
        <w:rPr>
          <w:rFonts w:cstheme="minorHAnsi"/>
          <w:sz w:val="24"/>
          <w:szCs w:val="24"/>
          <w:shd w:val="clear" w:color="auto" w:fill="FFFFFF"/>
        </w:rPr>
        <w:t>nebank</w:t>
      </w:r>
      <w:proofErr w:type="spellEnd"/>
      <w:proofErr w:type="gramStart"/>
      <w:r w:rsidRPr="005C658A">
        <w:rPr>
          <w:rFonts w:cstheme="minorHAnsi"/>
          <w:sz w:val="24"/>
          <w:szCs w:val="24"/>
          <w:shd w:val="clear" w:color="auto" w:fill="FFFFFF"/>
        </w:rPr>
        <w:t>?.</w:t>
      </w:r>
      <w:proofErr w:type="gramEnd"/>
      <w:r w:rsidRPr="005C658A">
        <w:rPr>
          <w:rFonts w:cstheme="minorHAnsi"/>
          <w:sz w:val="24"/>
          <w:szCs w:val="24"/>
          <w:shd w:val="clear" w:color="auto" w:fill="FFFFFF"/>
        </w:rPr>
        <w:t> </w:t>
      </w:r>
      <w:r w:rsidRPr="005C658A">
        <w:rPr>
          <w:rFonts w:cstheme="minorHAnsi"/>
          <w:i/>
          <w:sz w:val="24"/>
          <w:szCs w:val="24"/>
          <w:shd w:val="clear" w:color="auto" w:fill="FFFFFF"/>
        </w:rPr>
        <w:t>Proceedings of the</w:t>
      </w:r>
      <w:r>
        <w:rPr>
          <w:rFonts w:cstheme="minorHAnsi"/>
          <w:i/>
          <w:sz w:val="24"/>
          <w:szCs w:val="24"/>
          <w:shd w:val="clear" w:color="auto" w:fill="FFFFFF"/>
        </w:rPr>
        <w:t xml:space="preserve"> </w:t>
      </w:r>
      <w:r w:rsidRPr="005C658A">
        <w:rPr>
          <w:rFonts w:cstheme="minorHAnsi"/>
          <w:i/>
          <w:sz w:val="24"/>
          <w:szCs w:val="24"/>
        </w:rPr>
        <w:t xml:space="preserve">MIBES International Conference, </w:t>
      </w:r>
      <w:proofErr w:type="spellStart"/>
      <w:r w:rsidRPr="005C658A">
        <w:rPr>
          <w:rFonts w:cstheme="minorHAnsi"/>
          <w:i/>
          <w:sz w:val="24"/>
          <w:szCs w:val="24"/>
        </w:rPr>
        <w:t>Serres</w:t>
      </w:r>
      <w:proofErr w:type="spellEnd"/>
      <w:r w:rsidRPr="005C658A">
        <w:rPr>
          <w:rFonts w:cstheme="minorHAnsi"/>
          <w:i/>
          <w:sz w:val="24"/>
          <w:szCs w:val="24"/>
        </w:rPr>
        <w:t>, Greece, 16-18 September 2011</w:t>
      </w:r>
      <w:r w:rsidRPr="005C658A">
        <w:rPr>
          <w:rFonts w:cstheme="minorHAnsi"/>
          <w:sz w:val="24"/>
          <w:szCs w:val="24"/>
        </w:rPr>
        <w:t xml:space="preserve">, </w:t>
      </w:r>
      <w:r w:rsidRPr="005C658A">
        <w:rPr>
          <w:rFonts w:cstheme="minorHAnsi"/>
          <w:sz w:val="24"/>
          <w:szCs w:val="24"/>
          <w:shd w:val="clear" w:color="auto" w:fill="FFFFFF"/>
        </w:rPr>
        <w:t>157–176.</w:t>
      </w:r>
    </w:p>
    <w:p w:rsidR="00955C42" w:rsidRPr="005C658A" w:rsidRDefault="00955C42" w:rsidP="00955C42">
      <w:pPr>
        <w:pStyle w:val="Bibliography"/>
        <w:spacing w:line="240" w:lineRule="auto"/>
        <w:ind w:left="360" w:hanging="360"/>
        <w:contextualSpacing/>
        <w:jc w:val="both"/>
        <w:rPr>
          <w:noProof/>
          <w:sz w:val="24"/>
          <w:szCs w:val="24"/>
        </w:rPr>
      </w:pPr>
      <w:r w:rsidRPr="005C658A">
        <w:rPr>
          <w:noProof/>
          <w:sz w:val="24"/>
          <w:szCs w:val="24"/>
        </w:rPr>
        <w:t xml:space="preserve">Gunathilaka, E. A. (2015). Credit Risk Management and Its Impact on Performance of Finance Companies in Sri Lanka. </w:t>
      </w:r>
      <w:r w:rsidRPr="005C658A">
        <w:rPr>
          <w:i/>
          <w:iCs/>
          <w:noProof/>
          <w:sz w:val="24"/>
          <w:szCs w:val="24"/>
        </w:rPr>
        <w:t>4th Students' Research Symposium</w:t>
      </w:r>
      <w:r w:rsidRPr="005C658A">
        <w:rPr>
          <w:noProof/>
          <w:sz w:val="24"/>
          <w:szCs w:val="24"/>
        </w:rPr>
        <w:t xml:space="preserve"> (p. 18). Kelaniya: University of Kelaniya.</w:t>
      </w:r>
    </w:p>
    <w:p w:rsidR="00955C42" w:rsidRPr="005C658A" w:rsidRDefault="00955C42" w:rsidP="00955C42">
      <w:pPr>
        <w:pStyle w:val="Bibliography"/>
        <w:spacing w:line="240" w:lineRule="auto"/>
        <w:ind w:left="360" w:hanging="360"/>
        <w:contextualSpacing/>
        <w:jc w:val="both"/>
        <w:rPr>
          <w:noProof/>
          <w:sz w:val="24"/>
          <w:szCs w:val="24"/>
        </w:rPr>
      </w:pPr>
      <w:proofErr w:type="spellStart"/>
      <w:proofErr w:type="gramStart"/>
      <w:r w:rsidRPr="005C658A">
        <w:rPr>
          <w:rFonts w:cstheme="minorHAnsi"/>
          <w:sz w:val="24"/>
          <w:szCs w:val="24"/>
          <w:shd w:val="clear" w:color="auto" w:fill="FFFFFF"/>
        </w:rPr>
        <w:t>Heydari</w:t>
      </w:r>
      <w:proofErr w:type="spellEnd"/>
      <w:r w:rsidRPr="005C658A">
        <w:rPr>
          <w:rFonts w:cstheme="minorHAnsi"/>
          <w:sz w:val="24"/>
          <w:szCs w:val="24"/>
          <w:shd w:val="clear" w:color="auto" w:fill="FFFFFF"/>
        </w:rPr>
        <w:t xml:space="preserve">, M., &amp; </w:t>
      </w:r>
      <w:proofErr w:type="spellStart"/>
      <w:r w:rsidRPr="005C658A">
        <w:rPr>
          <w:rFonts w:cstheme="minorHAnsi"/>
          <w:sz w:val="24"/>
          <w:szCs w:val="24"/>
          <w:shd w:val="clear" w:color="auto" w:fill="FFFFFF"/>
        </w:rPr>
        <w:t>Abdoli</w:t>
      </w:r>
      <w:proofErr w:type="spellEnd"/>
      <w:r w:rsidRPr="005C658A">
        <w:rPr>
          <w:rFonts w:cstheme="minorHAnsi"/>
          <w:sz w:val="24"/>
          <w:szCs w:val="24"/>
          <w:shd w:val="clear" w:color="auto" w:fill="FFFFFF"/>
        </w:rPr>
        <w:t>, M. (2015).</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The effect of credit risk management and capital adequacy on financial performance of business banks.</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Indian Journal of Science and Technology</w:t>
      </w:r>
      <w:r w:rsidRPr="005C658A">
        <w:rPr>
          <w:rFonts w:cstheme="minorHAnsi"/>
          <w:sz w:val="24"/>
          <w:szCs w:val="24"/>
          <w:shd w:val="clear" w:color="auto" w:fill="FFFFFF"/>
        </w:rPr>
        <w:t>, </w:t>
      </w:r>
      <w:r w:rsidRPr="005C658A">
        <w:rPr>
          <w:rFonts w:cstheme="minorHAnsi"/>
          <w:i/>
          <w:iCs/>
          <w:sz w:val="24"/>
          <w:szCs w:val="24"/>
          <w:shd w:val="clear" w:color="auto" w:fill="FFFFFF"/>
        </w:rPr>
        <w:t>8</w:t>
      </w:r>
      <w:r w:rsidRPr="005C658A">
        <w:rPr>
          <w:rFonts w:cstheme="minorHAnsi"/>
          <w:sz w:val="24"/>
          <w:szCs w:val="24"/>
          <w:shd w:val="clear" w:color="auto" w:fill="FFFFFF"/>
        </w:rPr>
        <w:t>(S8), 196-200.</w:t>
      </w:r>
    </w:p>
    <w:p w:rsidR="00955C42" w:rsidRPr="005C658A" w:rsidRDefault="00955C42" w:rsidP="00955C42">
      <w:pPr>
        <w:spacing w:line="240" w:lineRule="auto"/>
        <w:ind w:left="360" w:hanging="360"/>
        <w:contextualSpacing/>
        <w:rPr>
          <w:rFonts w:cstheme="minorHAnsi"/>
          <w:sz w:val="24"/>
          <w:szCs w:val="24"/>
        </w:rPr>
      </w:pPr>
      <w:r w:rsidRPr="005C658A">
        <w:rPr>
          <w:rFonts w:cstheme="minorHAnsi"/>
          <w:sz w:val="24"/>
          <w:szCs w:val="24"/>
        </w:rPr>
        <w:t xml:space="preserve">Hill, R. A. (2008). </w:t>
      </w:r>
      <w:proofErr w:type="gramStart"/>
      <w:r w:rsidRPr="005C658A">
        <w:rPr>
          <w:rFonts w:cstheme="minorHAnsi"/>
          <w:i/>
          <w:iCs/>
          <w:sz w:val="24"/>
          <w:szCs w:val="24"/>
        </w:rPr>
        <w:t>Strategic financial management</w:t>
      </w:r>
      <w:r w:rsidRPr="005C658A">
        <w:rPr>
          <w:rFonts w:cstheme="minorHAnsi"/>
          <w:sz w:val="24"/>
          <w:szCs w:val="24"/>
        </w:rPr>
        <w:t>.</w:t>
      </w:r>
      <w:proofErr w:type="gramEnd"/>
      <w:r w:rsidRPr="005C658A">
        <w:rPr>
          <w:rFonts w:cstheme="minorHAnsi"/>
          <w:sz w:val="24"/>
          <w:szCs w:val="24"/>
        </w:rPr>
        <w:t xml:space="preserve"> </w:t>
      </w:r>
      <w:proofErr w:type="spellStart"/>
      <w:proofErr w:type="gramStart"/>
      <w:r w:rsidRPr="005C658A">
        <w:rPr>
          <w:rFonts w:cstheme="minorHAnsi"/>
          <w:sz w:val="24"/>
          <w:szCs w:val="24"/>
        </w:rPr>
        <w:t>Bookboon</w:t>
      </w:r>
      <w:proofErr w:type="spellEnd"/>
      <w:r w:rsidRPr="005C658A">
        <w:rPr>
          <w:rFonts w:cstheme="minorHAnsi"/>
          <w:sz w:val="24"/>
          <w:szCs w:val="24"/>
        </w:rPr>
        <w:t>.</w:t>
      </w:r>
      <w:proofErr w:type="gramEnd"/>
      <w:r w:rsidRPr="005C658A">
        <w:rPr>
          <w:rFonts w:cstheme="minorHAnsi"/>
          <w:sz w:val="24"/>
          <w:szCs w:val="24"/>
        </w:rPr>
        <w:t xml:space="preserve"> </w:t>
      </w:r>
    </w:p>
    <w:p w:rsidR="00955C42" w:rsidRPr="005C658A" w:rsidRDefault="00955C42" w:rsidP="00955C42">
      <w:pPr>
        <w:spacing w:line="240" w:lineRule="auto"/>
        <w:ind w:left="360" w:hanging="360"/>
        <w:contextualSpacing/>
        <w:rPr>
          <w:rFonts w:cstheme="minorHAnsi"/>
          <w:sz w:val="24"/>
          <w:szCs w:val="24"/>
        </w:rPr>
      </w:pPr>
      <w:r w:rsidRPr="005C658A">
        <w:rPr>
          <w:rFonts w:cstheme="minorHAnsi"/>
          <w:sz w:val="24"/>
          <w:szCs w:val="24"/>
        </w:rPr>
        <w:t xml:space="preserve">Ismail, A., </w:t>
      </w:r>
      <w:proofErr w:type="spellStart"/>
      <w:r w:rsidRPr="005C658A">
        <w:rPr>
          <w:rFonts w:cstheme="minorHAnsi"/>
          <w:sz w:val="24"/>
          <w:szCs w:val="24"/>
        </w:rPr>
        <w:t>Hanif</w:t>
      </w:r>
      <w:proofErr w:type="spellEnd"/>
      <w:r w:rsidRPr="005C658A">
        <w:rPr>
          <w:rFonts w:cstheme="minorHAnsi"/>
          <w:sz w:val="24"/>
          <w:szCs w:val="24"/>
        </w:rPr>
        <w:t xml:space="preserve">, R., </w:t>
      </w:r>
      <w:proofErr w:type="spellStart"/>
      <w:r w:rsidRPr="005C658A">
        <w:rPr>
          <w:rFonts w:cstheme="minorHAnsi"/>
          <w:sz w:val="24"/>
          <w:szCs w:val="24"/>
        </w:rPr>
        <w:t>Choudhary</w:t>
      </w:r>
      <w:proofErr w:type="spellEnd"/>
      <w:r w:rsidRPr="005C658A">
        <w:rPr>
          <w:rFonts w:cstheme="minorHAnsi"/>
          <w:sz w:val="24"/>
          <w:szCs w:val="24"/>
        </w:rPr>
        <w:t xml:space="preserve">, S., &amp; </w:t>
      </w:r>
      <w:proofErr w:type="spellStart"/>
      <w:r w:rsidRPr="005C658A">
        <w:rPr>
          <w:rFonts w:cstheme="minorHAnsi"/>
          <w:sz w:val="24"/>
          <w:szCs w:val="24"/>
        </w:rPr>
        <w:t>Nisar</w:t>
      </w:r>
      <w:proofErr w:type="spellEnd"/>
      <w:r w:rsidRPr="005C658A">
        <w:rPr>
          <w:rFonts w:cstheme="minorHAnsi"/>
          <w:sz w:val="24"/>
          <w:szCs w:val="24"/>
        </w:rPr>
        <w:t xml:space="preserve">, A. Income-diversification in banking sector Of Pakistan: </w:t>
      </w:r>
      <w:proofErr w:type="spellStart"/>
      <w:r w:rsidRPr="005C658A">
        <w:rPr>
          <w:rFonts w:cstheme="minorHAnsi"/>
          <w:sz w:val="24"/>
          <w:szCs w:val="24"/>
        </w:rPr>
        <w:t>A'blessing</w:t>
      </w:r>
      <w:proofErr w:type="spellEnd"/>
      <w:r w:rsidRPr="005C658A">
        <w:rPr>
          <w:rFonts w:cstheme="minorHAnsi"/>
          <w:sz w:val="24"/>
          <w:szCs w:val="24"/>
        </w:rPr>
        <w:t xml:space="preserve">'. </w:t>
      </w:r>
      <w:r w:rsidRPr="005C658A">
        <w:rPr>
          <w:rFonts w:cstheme="minorHAnsi"/>
          <w:i/>
          <w:iCs/>
          <w:sz w:val="24"/>
          <w:szCs w:val="24"/>
        </w:rPr>
        <w:t>The Journal of Commerce</w:t>
      </w:r>
      <w:r w:rsidRPr="005C658A">
        <w:rPr>
          <w:rFonts w:cstheme="minorHAnsi"/>
          <w:sz w:val="24"/>
          <w:szCs w:val="24"/>
        </w:rPr>
        <w:t xml:space="preserve">, </w:t>
      </w:r>
      <w:r w:rsidRPr="005C658A">
        <w:rPr>
          <w:rFonts w:cstheme="minorHAnsi"/>
          <w:i/>
          <w:iCs/>
          <w:sz w:val="24"/>
          <w:szCs w:val="24"/>
        </w:rPr>
        <w:t>7</w:t>
      </w:r>
      <w:r w:rsidRPr="005C658A">
        <w:rPr>
          <w:rFonts w:cstheme="minorHAnsi"/>
          <w:sz w:val="24"/>
          <w:szCs w:val="24"/>
        </w:rPr>
        <w:t>(1), 11–</w:t>
      </w:r>
      <w:proofErr w:type="gramStart"/>
      <w:r w:rsidRPr="005C658A">
        <w:rPr>
          <w:rFonts w:cstheme="minorHAnsi"/>
          <w:sz w:val="24"/>
          <w:szCs w:val="24"/>
        </w:rPr>
        <w:t>22 .</w:t>
      </w:r>
      <w:proofErr w:type="gramEnd"/>
      <w:r w:rsidRPr="005C658A">
        <w:rPr>
          <w:rFonts w:cstheme="minorHAnsi"/>
          <w:sz w:val="24"/>
          <w:szCs w:val="24"/>
        </w:rPr>
        <w:t xml:space="preserve">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 xml:space="preserve">Jensen, M. C., &amp; </w:t>
      </w:r>
      <w:proofErr w:type="spellStart"/>
      <w:r w:rsidRPr="005C658A">
        <w:rPr>
          <w:rFonts w:cstheme="minorHAnsi"/>
          <w:sz w:val="24"/>
          <w:szCs w:val="24"/>
          <w:shd w:val="clear" w:color="auto" w:fill="FFFFFF"/>
        </w:rPr>
        <w:t>Meckling</w:t>
      </w:r>
      <w:proofErr w:type="spellEnd"/>
      <w:r w:rsidRPr="005C658A">
        <w:rPr>
          <w:rFonts w:cstheme="minorHAnsi"/>
          <w:sz w:val="24"/>
          <w:szCs w:val="24"/>
          <w:shd w:val="clear" w:color="auto" w:fill="FFFFFF"/>
        </w:rPr>
        <w:t>, W. H. (1976).</w:t>
      </w:r>
      <w:proofErr w:type="gramEnd"/>
      <w:r w:rsidRPr="005C658A">
        <w:rPr>
          <w:rFonts w:cstheme="minorHAnsi"/>
          <w:sz w:val="24"/>
          <w:szCs w:val="24"/>
          <w:shd w:val="clear" w:color="auto" w:fill="FFFFFF"/>
        </w:rPr>
        <w:t xml:space="preserve"> Theory of the firm: Managerial behavior, agency costs and ownership structure. </w:t>
      </w:r>
      <w:r w:rsidRPr="005C658A">
        <w:rPr>
          <w:rFonts w:cstheme="minorHAnsi"/>
          <w:i/>
          <w:iCs/>
          <w:sz w:val="24"/>
          <w:szCs w:val="24"/>
          <w:shd w:val="clear" w:color="auto" w:fill="FFFFFF"/>
        </w:rPr>
        <w:t>Journal of financial economics</w:t>
      </w:r>
      <w:r w:rsidRPr="005C658A">
        <w:rPr>
          <w:rFonts w:cstheme="minorHAnsi"/>
          <w:sz w:val="24"/>
          <w:szCs w:val="24"/>
          <w:shd w:val="clear" w:color="auto" w:fill="FFFFFF"/>
        </w:rPr>
        <w:t>, </w:t>
      </w:r>
      <w:r w:rsidRPr="005C658A">
        <w:rPr>
          <w:rFonts w:cstheme="minorHAnsi"/>
          <w:i/>
          <w:iCs/>
          <w:sz w:val="24"/>
          <w:szCs w:val="24"/>
          <w:shd w:val="clear" w:color="auto" w:fill="FFFFFF"/>
        </w:rPr>
        <w:t>3</w:t>
      </w:r>
      <w:r w:rsidRPr="005C658A">
        <w:rPr>
          <w:rFonts w:cstheme="minorHAnsi"/>
          <w:sz w:val="24"/>
          <w:szCs w:val="24"/>
          <w:shd w:val="clear" w:color="auto" w:fill="FFFFFF"/>
        </w:rPr>
        <w:t>(4), 305-360.</w:t>
      </w:r>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Kalluci</w:t>
      </w:r>
      <w:proofErr w:type="spellEnd"/>
      <w:r w:rsidRPr="005C658A">
        <w:rPr>
          <w:rFonts w:cstheme="minorHAnsi"/>
          <w:sz w:val="24"/>
          <w:szCs w:val="24"/>
        </w:rPr>
        <w:t>, I. (2011), Analysis of the Albanian Banking System in a Risk</w:t>
      </w:r>
      <w:r>
        <w:rPr>
          <w:rFonts w:cstheme="minorHAnsi"/>
          <w:sz w:val="24"/>
          <w:szCs w:val="24"/>
        </w:rPr>
        <w:t xml:space="preserve"> </w:t>
      </w:r>
      <w:r w:rsidRPr="005C658A">
        <w:rPr>
          <w:rFonts w:cstheme="minorHAnsi"/>
          <w:sz w:val="24"/>
          <w:szCs w:val="24"/>
        </w:rPr>
        <w:t xml:space="preserve">Performance Framework. </w:t>
      </w:r>
      <w:proofErr w:type="gramStart"/>
      <w:r w:rsidRPr="005C658A">
        <w:rPr>
          <w:rFonts w:cstheme="minorHAnsi"/>
          <w:sz w:val="24"/>
          <w:szCs w:val="24"/>
        </w:rPr>
        <w:t>Bank of Greece, Euro System, Economic Research Department-Special Paper Division.</w:t>
      </w:r>
      <w:proofErr w:type="gramEnd"/>
    </w:p>
    <w:p w:rsidR="00955C42" w:rsidRPr="005706EE"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Kirikal</w:t>
      </w:r>
      <w:proofErr w:type="spellEnd"/>
      <w:r w:rsidRPr="005C658A">
        <w:rPr>
          <w:rFonts w:cstheme="minorHAnsi"/>
          <w:sz w:val="24"/>
          <w:szCs w:val="24"/>
        </w:rPr>
        <w:t xml:space="preserve">, L., </w:t>
      </w:r>
      <w:proofErr w:type="spellStart"/>
      <w:r w:rsidRPr="005C658A">
        <w:rPr>
          <w:rFonts w:cstheme="minorHAnsi"/>
          <w:sz w:val="24"/>
          <w:szCs w:val="24"/>
        </w:rPr>
        <w:t>Sorg</w:t>
      </w:r>
      <w:proofErr w:type="spellEnd"/>
      <w:r w:rsidRPr="005C658A">
        <w:rPr>
          <w:rFonts w:cstheme="minorHAnsi"/>
          <w:sz w:val="24"/>
          <w:szCs w:val="24"/>
        </w:rPr>
        <w:t xml:space="preserve">, M., &amp; </w:t>
      </w:r>
      <w:proofErr w:type="spellStart"/>
      <w:r w:rsidRPr="005C658A">
        <w:rPr>
          <w:rFonts w:cstheme="minorHAnsi"/>
          <w:sz w:val="24"/>
          <w:szCs w:val="24"/>
        </w:rPr>
        <w:t>Vensel</w:t>
      </w:r>
      <w:proofErr w:type="spellEnd"/>
      <w:r w:rsidRPr="005C658A">
        <w:rPr>
          <w:rFonts w:cstheme="minorHAnsi"/>
          <w:sz w:val="24"/>
          <w:szCs w:val="24"/>
        </w:rPr>
        <w:t>, V. (2011).</w:t>
      </w:r>
      <w:proofErr w:type="gramEnd"/>
      <w:r w:rsidRPr="005C658A">
        <w:rPr>
          <w:rFonts w:cstheme="minorHAnsi"/>
          <w:sz w:val="24"/>
          <w:szCs w:val="24"/>
        </w:rPr>
        <w:t xml:space="preserve"> </w:t>
      </w:r>
      <w:proofErr w:type="gramStart"/>
      <w:r w:rsidRPr="005C658A">
        <w:rPr>
          <w:rFonts w:cstheme="minorHAnsi"/>
          <w:sz w:val="24"/>
          <w:szCs w:val="24"/>
        </w:rPr>
        <w:t xml:space="preserve">Estonian banking sector performance analysis using </w:t>
      </w:r>
      <w:proofErr w:type="spellStart"/>
      <w:r w:rsidRPr="005C658A">
        <w:rPr>
          <w:rFonts w:cstheme="minorHAnsi"/>
          <w:sz w:val="24"/>
          <w:szCs w:val="24"/>
        </w:rPr>
        <w:t>malmquist</w:t>
      </w:r>
      <w:proofErr w:type="spellEnd"/>
      <w:r w:rsidRPr="005C658A">
        <w:rPr>
          <w:rFonts w:cstheme="minorHAnsi"/>
          <w:sz w:val="24"/>
          <w:szCs w:val="24"/>
        </w:rPr>
        <w:t xml:space="preserve"> indexes and DuPont financial ratio analysis.</w:t>
      </w:r>
      <w:proofErr w:type="gramEnd"/>
      <w:r w:rsidRPr="005C658A">
        <w:rPr>
          <w:rFonts w:cstheme="minorHAnsi"/>
          <w:sz w:val="24"/>
          <w:szCs w:val="24"/>
        </w:rPr>
        <w:t xml:space="preserve"> </w:t>
      </w:r>
      <w:r w:rsidRPr="005C658A">
        <w:rPr>
          <w:rFonts w:cstheme="minorHAnsi"/>
          <w:i/>
          <w:iCs/>
          <w:sz w:val="24"/>
          <w:szCs w:val="24"/>
        </w:rPr>
        <w:t>International Business &amp; Economics Research Journal (IBER)</w:t>
      </w:r>
      <w:r w:rsidRPr="005C658A">
        <w:rPr>
          <w:rFonts w:cstheme="minorHAnsi"/>
          <w:sz w:val="24"/>
          <w:szCs w:val="24"/>
        </w:rPr>
        <w:t xml:space="preserve">, </w:t>
      </w:r>
      <w:r w:rsidRPr="005C658A">
        <w:rPr>
          <w:rFonts w:cstheme="minorHAnsi"/>
          <w:i/>
          <w:iCs/>
          <w:sz w:val="24"/>
          <w:szCs w:val="24"/>
        </w:rPr>
        <w:t>3</w:t>
      </w:r>
      <w:r w:rsidRPr="005C658A">
        <w:rPr>
          <w:rFonts w:cstheme="minorHAnsi"/>
          <w:sz w:val="24"/>
          <w:szCs w:val="24"/>
        </w:rPr>
        <w:t xml:space="preserve">(12), 21–36. </w:t>
      </w:r>
    </w:p>
    <w:p w:rsidR="00955C42" w:rsidRPr="005C658A" w:rsidRDefault="00955C42" w:rsidP="00955C42">
      <w:pPr>
        <w:pStyle w:val="Bibliography"/>
        <w:spacing w:line="240" w:lineRule="auto"/>
        <w:ind w:left="360" w:hanging="360"/>
        <w:contextualSpacing/>
        <w:jc w:val="both"/>
        <w:rPr>
          <w:noProof/>
          <w:sz w:val="24"/>
          <w:szCs w:val="24"/>
        </w:rPr>
      </w:pPr>
      <w:r w:rsidRPr="005C658A">
        <w:rPr>
          <w:noProof/>
          <w:sz w:val="24"/>
          <w:szCs w:val="24"/>
        </w:rPr>
        <w:t xml:space="preserve">Kodothuwakku, &amp; Sujeewa. (2015). Impact of Credit Risk Management on the Performance of Commercial Bank in Sri Lanka. </w:t>
      </w:r>
      <w:r w:rsidRPr="005C658A">
        <w:rPr>
          <w:i/>
          <w:iCs/>
          <w:noProof/>
          <w:sz w:val="24"/>
          <w:szCs w:val="24"/>
        </w:rPr>
        <w:t>1st International Conference in Accounting Researchers and Educators</w:t>
      </w:r>
      <w:r w:rsidRPr="005C658A">
        <w:rPr>
          <w:noProof/>
          <w:sz w:val="24"/>
          <w:szCs w:val="24"/>
        </w:rPr>
        <w:t xml:space="preserve"> (pp. 136-143). Kelaniya: University of Kelaniya.</w:t>
      </w:r>
    </w:p>
    <w:p w:rsidR="00955C42" w:rsidRPr="005706EE"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706EE">
        <w:rPr>
          <w:rFonts w:cstheme="minorHAnsi"/>
          <w:color w:val="222222"/>
          <w:sz w:val="24"/>
          <w:szCs w:val="24"/>
          <w:shd w:val="clear" w:color="auto" w:fill="FFFFFF"/>
        </w:rPr>
        <w:t>Köhler</w:t>
      </w:r>
      <w:proofErr w:type="spellEnd"/>
      <w:r w:rsidRPr="005706EE">
        <w:rPr>
          <w:rFonts w:cstheme="minorHAnsi"/>
          <w:color w:val="222222"/>
          <w:sz w:val="24"/>
          <w:szCs w:val="24"/>
          <w:shd w:val="clear" w:color="auto" w:fill="FFFFFF"/>
        </w:rPr>
        <w:t>, M. (2014).</w:t>
      </w:r>
      <w:proofErr w:type="gramEnd"/>
      <w:r w:rsidRPr="005706EE">
        <w:rPr>
          <w:rFonts w:cstheme="minorHAnsi"/>
          <w:color w:val="222222"/>
          <w:sz w:val="24"/>
          <w:szCs w:val="24"/>
          <w:shd w:val="clear" w:color="auto" w:fill="FFFFFF"/>
        </w:rPr>
        <w:t xml:space="preserve"> Does non-interest income make banks more risky? </w:t>
      </w:r>
      <w:proofErr w:type="gramStart"/>
      <w:r w:rsidRPr="005706EE">
        <w:rPr>
          <w:rFonts w:cstheme="minorHAnsi"/>
          <w:color w:val="222222"/>
          <w:sz w:val="24"/>
          <w:szCs w:val="24"/>
          <w:shd w:val="clear" w:color="auto" w:fill="FFFFFF"/>
        </w:rPr>
        <w:t>Retail-versus investment-oriented banks.</w:t>
      </w:r>
      <w:proofErr w:type="gramEnd"/>
      <w:r w:rsidRPr="005706EE">
        <w:rPr>
          <w:rFonts w:cstheme="minorHAnsi"/>
          <w:color w:val="222222"/>
          <w:sz w:val="24"/>
          <w:szCs w:val="24"/>
          <w:shd w:val="clear" w:color="auto" w:fill="FFFFFF"/>
        </w:rPr>
        <w:t> </w:t>
      </w:r>
      <w:r w:rsidRPr="005706EE">
        <w:rPr>
          <w:rFonts w:cstheme="minorHAnsi"/>
          <w:i/>
          <w:iCs/>
          <w:color w:val="222222"/>
          <w:sz w:val="24"/>
          <w:szCs w:val="24"/>
          <w:shd w:val="clear" w:color="auto" w:fill="FFFFFF"/>
        </w:rPr>
        <w:t>Review of Financial Economics</w:t>
      </w:r>
      <w:r w:rsidRPr="005706EE">
        <w:rPr>
          <w:rFonts w:cstheme="minorHAnsi"/>
          <w:color w:val="222222"/>
          <w:sz w:val="24"/>
          <w:szCs w:val="24"/>
          <w:shd w:val="clear" w:color="auto" w:fill="FFFFFF"/>
        </w:rPr>
        <w:t>, </w:t>
      </w:r>
      <w:r w:rsidRPr="005706EE">
        <w:rPr>
          <w:rFonts w:cstheme="minorHAnsi"/>
          <w:i/>
          <w:iCs/>
          <w:color w:val="222222"/>
          <w:sz w:val="24"/>
          <w:szCs w:val="24"/>
          <w:shd w:val="clear" w:color="auto" w:fill="FFFFFF"/>
        </w:rPr>
        <w:t>23</w:t>
      </w:r>
      <w:r w:rsidRPr="005706EE">
        <w:rPr>
          <w:rFonts w:cstheme="minorHAnsi"/>
          <w:color w:val="222222"/>
          <w:sz w:val="24"/>
          <w:szCs w:val="24"/>
          <w:shd w:val="clear" w:color="auto" w:fill="FFFFFF"/>
        </w:rPr>
        <w:t>(4), 182-193</w:t>
      </w:r>
      <w:proofErr w:type="gramStart"/>
      <w:r w:rsidRPr="005706EE">
        <w:rPr>
          <w:rFonts w:cstheme="minorHAnsi"/>
          <w:color w:val="222222"/>
          <w:sz w:val="24"/>
          <w:szCs w:val="24"/>
          <w:shd w:val="clear" w:color="auto" w:fill="FFFFFF"/>
        </w:rPr>
        <w:t>.</w:t>
      </w:r>
      <w:r w:rsidRPr="005706EE">
        <w:rPr>
          <w:rFonts w:cstheme="minorHAnsi"/>
          <w:sz w:val="24"/>
          <w:szCs w:val="24"/>
          <w:shd w:val="clear" w:color="auto" w:fill="FFFFFF"/>
        </w:rPr>
        <w:t>.</w:t>
      </w:r>
      <w:proofErr w:type="gramEnd"/>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r w:rsidRPr="005C658A">
        <w:rPr>
          <w:rFonts w:cstheme="minorHAnsi"/>
          <w:sz w:val="24"/>
          <w:szCs w:val="24"/>
          <w:shd w:val="clear" w:color="auto" w:fill="FFFFFF"/>
        </w:rPr>
        <w:lastRenderedPageBreak/>
        <w:t>Kosmidou</w:t>
      </w:r>
      <w:proofErr w:type="spellEnd"/>
      <w:r w:rsidRPr="005C658A">
        <w:rPr>
          <w:rFonts w:cstheme="minorHAnsi"/>
          <w:sz w:val="24"/>
          <w:szCs w:val="24"/>
          <w:shd w:val="clear" w:color="auto" w:fill="FFFFFF"/>
        </w:rPr>
        <w:t xml:space="preserve">, K. (2008). </w:t>
      </w:r>
      <w:proofErr w:type="gramStart"/>
      <w:r w:rsidRPr="005C658A">
        <w:rPr>
          <w:rFonts w:cstheme="minorHAnsi"/>
          <w:sz w:val="24"/>
          <w:szCs w:val="24"/>
          <w:shd w:val="clear" w:color="auto" w:fill="FFFFFF"/>
        </w:rPr>
        <w:t>The determinants of banks' profits in Greece during the period of EU financial integration.</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Managerial Finance</w:t>
      </w:r>
      <w:r w:rsidRPr="005C658A">
        <w:rPr>
          <w:rFonts w:cstheme="minorHAnsi"/>
          <w:sz w:val="24"/>
          <w:szCs w:val="24"/>
          <w:shd w:val="clear" w:color="auto" w:fill="FFFFFF"/>
        </w:rPr>
        <w:t>, </w:t>
      </w:r>
      <w:r w:rsidRPr="005C658A">
        <w:rPr>
          <w:rFonts w:cstheme="minorHAnsi"/>
          <w:i/>
          <w:iCs/>
          <w:sz w:val="24"/>
          <w:szCs w:val="24"/>
          <w:shd w:val="clear" w:color="auto" w:fill="FFFFFF"/>
        </w:rPr>
        <w:t>34</w:t>
      </w:r>
      <w:r w:rsidRPr="005C658A">
        <w:rPr>
          <w:rFonts w:cstheme="minorHAnsi"/>
          <w:sz w:val="24"/>
          <w:szCs w:val="24"/>
          <w:shd w:val="clear" w:color="auto" w:fill="FFFFFF"/>
        </w:rPr>
        <w:t>(3), 146–159.</w:t>
      </w:r>
    </w:p>
    <w:p w:rsidR="00955C42" w:rsidRPr="005C658A" w:rsidRDefault="00955C42" w:rsidP="00955C42">
      <w:pPr>
        <w:spacing w:line="240" w:lineRule="auto"/>
        <w:ind w:left="360" w:hanging="360"/>
        <w:contextualSpacing/>
        <w:rPr>
          <w:rFonts w:cstheme="minorHAnsi"/>
          <w:sz w:val="24"/>
          <w:szCs w:val="24"/>
          <w:shd w:val="clear" w:color="auto" w:fill="FFFFFF"/>
        </w:rPr>
      </w:pP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Lael</w:t>
      </w:r>
      <w:proofErr w:type="spellEnd"/>
      <w:r w:rsidRPr="005C658A">
        <w:rPr>
          <w:rFonts w:cstheme="minorHAnsi"/>
          <w:sz w:val="24"/>
          <w:szCs w:val="24"/>
          <w:shd w:val="clear" w:color="auto" w:fill="FFFFFF"/>
        </w:rPr>
        <w:t xml:space="preserve"> Joseph, N., &amp; </w:t>
      </w:r>
      <w:proofErr w:type="spellStart"/>
      <w:r w:rsidRPr="005C658A">
        <w:rPr>
          <w:rFonts w:cstheme="minorHAnsi"/>
          <w:sz w:val="24"/>
          <w:szCs w:val="24"/>
          <w:shd w:val="clear" w:color="auto" w:fill="FFFFFF"/>
        </w:rPr>
        <w:t>Vezos</w:t>
      </w:r>
      <w:proofErr w:type="spellEnd"/>
      <w:r w:rsidRPr="005C658A">
        <w:rPr>
          <w:rFonts w:cstheme="minorHAnsi"/>
          <w:sz w:val="24"/>
          <w:szCs w:val="24"/>
          <w:shd w:val="clear" w:color="auto" w:fill="FFFFFF"/>
        </w:rPr>
        <w:t>, P. (2006).</w:t>
      </w:r>
      <w:proofErr w:type="gramEnd"/>
      <w:r w:rsidRPr="005C658A">
        <w:rPr>
          <w:rFonts w:cstheme="minorHAnsi"/>
          <w:sz w:val="24"/>
          <w:szCs w:val="24"/>
          <w:shd w:val="clear" w:color="auto" w:fill="FFFFFF"/>
        </w:rPr>
        <w:t xml:space="preserve"> The sensitivity of US banks' stock returns to interest rate and exchange rate changes. </w:t>
      </w:r>
      <w:r w:rsidRPr="005C658A">
        <w:rPr>
          <w:rFonts w:cstheme="minorHAnsi"/>
          <w:i/>
          <w:iCs/>
          <w:sz w:val="24"/>
          <w:szCs w:val="24"/>
          <w:shd w:val="clear" w:color="auto" w:fill="FFFFFF"/>
        </w:rPr>
        <w:t>Managerial Finance</w:t>
      </w:r>
      <w:r w:rsidRPr="005C658A">
        <w:rPr>
          <w:rFonts w:cstheme="minorHAnsi"/>
          <w:sz w:val="24"/>
          <w:szCs w:val="24"/>
          <w:shd w:val="clear" w:color="auto" w:fill="FFFFFF"/>
        </w:rPr>
        <w:t>, </w:t>
      </w:r>
      <w:r w:rsidRPr="005C658A">
        <w:rPr>
          <w:rFonts w:cstheme="minorHAnsi"/>
          <w:i/>
          <w:iCs/>
          <w:sz w:val="24"/>
          <w:szCs w:val="24"/>
          <w:shd w:val="clear" w:color="auto" w:fill="FFFFFF"/>
        </w:rPr>
        <w:t>32</w:t>
      </w:r>
      <w:r w:rsidRPr="005C658A">
        <w:rPr>
          <w:rFonts w:cstheme="minorHAnsi"/>
          <w:sz w:val="24"/>
          <w:szCs w:val="24"/>
          <w:shd w:val="clear" w:color="auto" w:fill="FFFFFF"/>
        </w:rPr>
        <w:t>(2), 182-199.</w:t>
      </w:r>
    </w:p>
    <w:p w:rsidR="00955C42" w:rsidRPr="005C658A" w:rsidRDefault="00955C42" w:rsidP="00955C42">
      <w:pPr>
        <w:spacing w:line="240" w:lineRule="auto"/>
        <w:ind w:left="360" w:hanging="360"/>
        <w:contextualSpacing/>
        <w:rPr>
          <w:rFonts w:cstheme="minorHAnsi"/>
          <w:sz w:val="24"/>
          <w:szCs w:val="24"/>
        </w:rPr>
      </w:pPr>
      <w:r w:rsidRPr="005C658A">
        <w:rPr>
          <w:rFonts w:cstheme="minorHAnsi"/>
          <w:sz w:val="24"/>
          <w:szCs w:val="24"/>
        </w:rPr>
        <w:t xml:space="preserve">Levine, R. (2005). Finance and growth: Theory and evidence. </w:t>
      </w:r>
      <w:r w:rsidRPr="005C658A">
        <w:rPr>
          <w:rFonts w:cstheme="minorHAnsi"/>
          <w:i/>
          <w:iCs/>
          <w:sz w:val="24"/>
          <w:szCs w:val="24"/>
        </w:rPr>
        <w:t>Handbook of Economic Growth</w:t>
      </w:r>
      <w:r w:rsidRPr="005C658A">
        <w:rPr>
          <w:rFonts w:cstheme="minorHAnsi"/>
          <w:sz w:val="24"/>
          <w:szCs w:val="24"/>
        </w:rPr>
        <w:t xml:space="preserve">, </w:t>
      </w:r>
      <w:r w:rsidRPr="005C658A">
        <w:rPr>
          <w:rFonts w:cstheme="minorHAnsi"/>
          <w:i/>
          <w:iCs/>
          <w:sz w:val="24"/>
          <w:szCs w:val="24"/>
        </w:rPr>
        <w:t>1</w:t>
      </w:r>
      <w:r w:rsidRPr="005C658A">
        <w:rPr>
          <w:rFonts w:cstheme="minorHAnsi"/>
          <w:sz w:val="24"/>
          <w:szCs w:val="24"/>
        </w:rPr>
        <w:t xml:space="preserve">, 865–934. </w:t>
      </w:r>
    </w:p>
    <w:p w:rsidR="00955C42" w:rsidRPr="005C658A" w:rsidRDefault="00955C42" w:rsidP="00955C42">
      <w:pPr>
        <w:spacing w:line="240" w:lineRule="auto"/>
        <w:ind w:left="360" w:hanging="360"/>
        <w:contextualSpacing/>
        <w:rPr>
          <w:rFonts w:cstheme="minorHAnsi"/>
          <w:sz w:val="24"/>
          <w:szCs w:val="24"/>
        </w:rPr>
      </w:pPr>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Lintner</w:t>
      </w:r>
      <w:proofErr w:type="spellEnd"/>
      <w:r w:rsidRPr="005C658A">
        <w:rPr>
          <w:rFonts w:cstheme="minorHAnsi"/>
          <w:sz w:val="24"/>
          <w:szCs w:val="24"/>
        </w:rPr>
        <w:t xml:space="preserve">, J. (1965). </w:t>
      </w:r>
      <w:proofErr w:type="gramStart"/>
      <w:r w:rsidRPr="005C658A">
        <w:rPr>
          <w:rFonts w:cstheme="minorHAnsi"/>
          <w:sz w:val="24"/>
          <w:szCs w:val="24"/>
        </w:rPr>
        <w:t>The valuation of risk assets and the selection of risky investments in stock portfolios and capital budgets.</w:t>
      </w:r>
      <w:proofErr w:type="gramEnd"/>
      <w:r w:rsidRPr="005C658A">
        <w:rPr>
          <w:rFonts w:cstheme="minorHAnsi"/>
          <w:sz w:val="24"/>
          <w:szCs w:val="24"/>
        </w:rPr>
        <w:t xml:space="preserve"> </w:t>
      </w:r>
      <w:r w:rsidRPr="005C658A">
        <w:rPr>
          <w:rFonts w:cstheme="minorHAnsi"/>
          <w:i/>
          <w:iCs/>
          <w:sz w:val="24"/>
          <w:szCs w:val="24"/>
        </w:rPr>
        <w:t>The Review of Economics and Statistics</w:t>
      </w:r>
      <w:r w:rsidRPr="005C658A">
        <w:rPr>
          <w:rFonts w:cstheme="minorHAnsi"/>
          <w:sz w:val="24"/>
          <w:szCs w:val="24"/>
        </w:rPr>
        <w:t xml:space="preserve">, </w:t>
      </w:r>
      <w:r w:rsidRPr="005C658A">
        <w:rPr>
          <w:rFonts w:cstheme="minorHAnsi"/>
          <w:i/>
          <w:sz w:val="24"/>
          <w:szCs w:val="24"/>
        </w:rPr>
        <w:t>47</w:t>
      </w:r>
      <w:r w:rsidRPr="005C658A">
        <w:rPr>
          <w:rFonts w:cstheme="minorHAnsi"/>
          <w:sz w:val="24"/>
          <w:szCs w:val="24"/>
        </w:rPr>
        <w:t xml:space="preserve">(1), 13-37. </w:t>
      </w:r>
    </w:p>
    <w:p w:rsidR="00955C42" w:rsidRPr="005C658A" w:rsidRDefault="00955C42" w:rsidP="00955C42">
      <w:pPr>
        <w:spacing w:line="240" w:lineRule="auto"/>
        <w:ind w:left="360" w:hanging="360"/>
        <w:contextualSpacing/>
        <w:rPr>
          <w:rFonts w:cstheme="minorHAnsi"/>
          <w:sz w:val="24"/>
          <w:szCs w:val="24"/>
        </w:rPr>
      </w:pPr>
      <w:proofErr w:type="gramStart"/>
      <w:r w:rsidRPr="005C658A">
        <w:rPr>
          <w:rFonts w:cstheme="minorHAnsi"/>
          <w:sz w:val="24"/>
          <w:szCs w:val="24"/>
        </w:rPr>
        <w:t xml:space="preserve">Lloyd, W. P., &amp; </w:t>
      </w:r>
      <w:proofErr w:type="spellStart"/>
      <w:r w:rsidRPr="005C658A">
        <w:rPr>
          <w:rFonts w:cstheme="minorHAnsi"/>
          <w:sz w:val="24"/>
          <w:szCs w:val="24"/>
        </w:rPr>
        <w:t>Shick</w:t>
      </w:r>
      <w:proofErr w:type="spellEnd"/>
      <w:r w:rsidRPr="005C658A">
        <w:rPr>
          <w:rFonts w:cstheme="minorHAnsi"/>
          <w:sz w:val="24"/>
          <w:szCs w:val="24"/>
        </w:rPr>
        <w:t>, R. A. (1977).</w:t>
      </w:r>
      <w:proofErr w:type="gramEnd"/>
      <w:r w:rsidRPr="005C658A">
        <w:rPr>
          <w:rFonts w:cstheme="minorHAnsi"/>
          <w:sz w:val="24"/>
          <w:szCs w:val="24"/>
        </w:rPr>
        <w:t xml:space="preserve"> </w:t>
      </w:r>
      <w:proofErr w:type="gramStart"/>
      <w:r w:rsidRPr="005C658A">
        <w:rPr>
          <w:rFonts w:cstheme="minorHAnsi"/>
          <w:sz w:val="24"/>
          <w:szCs w:val="24"/>
        </w:rPr>
        <w:t>A test of Stone's two-index model of returns.</w:t>
      </w:r>
      <w:proofErr w:type="gramEnd"/>
      <w:r w:rsidRPr="005C658A">
        <w:rPr>
          <w:rFonts w:cstheme="minorHAnsi"/>
          <w:sz w:val="24"/>
          <w:szCs w:val="24"/>
        </w:rPr>
        <w:t xml:space="preserve"> </w:t>
      </w:r>
      <w:r w:rsidRPr="005C658A">
        <w:rPr>
          <w:rFonts w:cstheme="minorHAnsi"/>
          <w:i/>
          <w:iCs/>
          <w:sz w:val="24"/>
          <w:szCs w:val="24"/>
        </w:rPr>
        <w:t>Journal of Financial and Quantitative Analysis</w:t>
      </w:r>
      <w:r w:rsidRPr="005C658A">
        <w:rPr>
          <w:rFonts w:cstheme="minorHAnsi"/>
          <w:sz w:val="24"/>
          <w:szCs w:val="24"/>
        </w:rPr>
        <w:t xml:space="preserve">, </w:t>
      </w:r>
      <w:r w:rsidRPr="005C658A">
        <w:rPr>
          <w:rFonts w:cstheme="minorHAnsi"/>
          <w:i/>
          <w:iCs/>
          <w:sz w:val="24"/>
          <w:szCs w:val="24"/>
        </w:rPr>
        <w:t>12</w:t>
      </w:r>
      <w:r w:rsidRPr="005C658A">
        <w:rPr>
          <w:rFonts w:cstheme="minorHAnsi"/>
          <w:sz w:val="24"/>
          <w:szCs w:val="24"/>
        </w:rPr>
        <w:t xml:space="preserve">(03), 363–376. </w:t>
      </w:r>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Lup</w:t>
      </w:r>
      <w:proofErr w:type="spellEnd"/>
      <w:r w:rsidRPr="005C658A">
        <w:rPr>
          <w:rFonts w:cstheme="minorHAnsi"/>
          <w:sz w:val="24"/>
          <w:szCs w:val="24"/>
        </w:rPr>
        <w:t xml:space="preserve">, F. C. (2015). </w:t>
      </w:r>
      <w:proofErr w:type="gramStart"/>
      <w:r w:rsidRPr="005C658A">
        <w:rPr>
          <w:rFonts w:cstheme="minorHAnsi"/>
          <w:i/>
          <w:iCs/>
          <w:sz w:val="24"/>
          <w:szCs w:val="24"/>
        </w:rPr>
        <w:t xml:space="preserve">Income diversification and bank performance in dual banking system </w:t>
      </w:r>
      <w:r w:rsidRPr="005C658A">
        <w:rPr>
          <w:rFonts w:cstheme="minorHAnsi"/>
          <w:sz w:val="24"/>
          <w:szCs w:val="24"/>
        </w:rPr>
        <w:t>(Doctoral dissertation).</w:t>
      </w:r>
      <w:proofErr w:type="spellStart"/>
      <w:r w:rsidRPr="005C658A">
        <w:rPr>
          <w:rFonts w:cstheme="minorHAnsi"/>
          <w:sz w:val="24"/>
          <w:szCs w:val="24"/>
        </w:rPr>
        <w:t>Universiti</w:t>
      </w:r>
      <w:proofErr w:type="spellEnd"/>
      <w:r w:rsidRPr="005C658A">
        <w:rPr>
          <w:rFonts w:cstheme="minorHAnsi"/>
          <w:sz w:val="24"/>
          <w:szCs w:val="24"/>
        </w:rPr>
        <w:t xml:space="preserve"> </w:t>
      </w:r>
      <w:proofErr w:type="spellStart"/>
      <w:r w:rsidRPr="005C658A">
        <w:rPr>
          <w:rFonts w:cstheme="minorHAnsi"/>
          <w:sz w:val="24"/>
          <w:szCs w:val="24"/>
        </w:rPr>
        <w:t>Tunku</w:t>
      </w:r>
      <w:proofErr w:type="spellEnd"/>
      <w:r w:rsidRPr="005C658A">
        <w:rPr>
          <w:rFonts w:cstheme="minorHAnsi"/>
          <w:sz w:val="24"/>
          <w:szCs w:val="24"/>
        </w:rPr>
        <w:t xml:space="preserve"> Abdul </w:t>
      </w:r>
      <w:proofErr w:type="spellStart"/>
      <w:r w:rsidRPr="005C658A">
        <w:rPr>
          <w:rFonts w:cstheme="minorHAnsi"/>
          <w:sz w:val="24"/>
          <w:szCs w:val="24"/>
        </w:rPr>
        <w:t>Rahman</w:t>
      </w:r>
      <w:proofErr w:type="spellEnd"/>
      <w:r w:rsidRPr="005C658A">
        <w:rPr>
          <w:rFonts w:cstheme="minorHAnsi"/>
          <w:sz w:val="24"/>
          <w:szCs w:val="24"/>
        </w:rPr>
        <w:t>.</w:t>
      </w:r>
      <w:proofErr w:type="gramEnd"/>
    </w:p>
    <w:p w:rsidR="00955C42" w:rsidRPr="005C658A"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Lynge</w:t>
      </w:r>
      <w:proofErr w:type="spellEnd"/>
      <w:r w:rsidRPr="005C658A">
        <w:rPr>
          <w:rFonts w:cstheme="minorHAnsi"/>
          <w:sz w:val="24"/>
          <w:szCs w:val="24"/>
        </w:rPr>
        <w:t xml:space="preserve">, M. J., &amp; </w:t>
      </w:r>
      <w:proofErr w:type="spellStart"/>
      <w:r w:rsidRPr="005C658A">
        <w:rPr>
          <w:rFonts w:cstheme="minorHAnsi"/>
          <w:sz w:val="24"/>
          <w:szCs w:val="24"/>
        </w:rPr>
        <w:t>Zumwalt</w:t>
      </w:r>
      <w:proofErr w:type="spellEnd"/>
      <w:r w:rsidRPr="005C658A">
        <w:rPr>
          <w:rFonts w:cstheme="minorHAnsi"/>
          <w:sz w:val="24"/>
          <w:szCs w:val="24"/>
        </w:rPr>
        <w:t>, J. K. (1980).</w:t>
      </w:r>
      <w:proofErr w:type="gramEnd"/>
      <w:r w:rsidRPr="005C658A">
        <w:rPr>
          <w:rFonts w:cstheme="minorHAnsi"/>
          <w:sz w:val="24"/>
          <w:szCs w:val="24"/>
        </w:rPr>
        <w:t xml:space="preserve"> An empirical study of the interest rate sensitivity of commercial bank returns: A multi-index approach. </w:t>
      </w:r>
      <w:proofErr w:type="gramStart"/>
      <w:r w:rsidRPr="005C658A">
        <w:rPr>
          <w:rFonts w:cstheme="minorHAnsi"/>
          <w:i/>
          <w:iCs/>
          <w:sz w:val="24"/>
          <w:szCs w:val="24"/>
        </w:rPr>
        <w:t>Journal of Financial and Quantitative analysis</w:t>
      </w:r>
      <w:r w:rsidRPr="005C658A">
        <w:rPr>
          <w:rFonts w:cstheme="minorHAnsi"/>
          <w:sz w:val="24"/>
          <w:szCs w:val="24"/>
        </w:rPr>
        <w:t xml:space="preserve">, </w:t>
      </w:r>
      <w:r w:rsidRPr="005C658A">
        <w:rPr>
          <w:rFonts w:cstheme="minorHAnsi"/>
          <w:i/>
          <w:iCs/>
          <w:sz w:val="24"/>
          <w:szCs w:val="24"/>
        </w:rPr>
        <w:t>15</w:t>
      </w:r>
      <w:r w:rsidRPr="005C658A">
        <w:rPr>
          <w:rFonts w:cstheme="minorHAnsi"/>
          <w:sz w:val="24"/>
          <w:szCs w:val="24"/>
        </w:rPr>
        <w:t>(03), 731–742.</w:t>
      </w:r>
      <w:proofErr w:type="gramEnd"/>
      <w:r w:rsidRPr="005C658A">
        <w:rPr>
          <w:rFonts w:cstheme="minorHAnsi"/>
          <w:sz w:val="24"/>
          <w:szCs w:val="24"/>
        </w:rPr>
        <w:t xml:space="preserve"> </w:t>
      </w:r>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Mercieca</w:t>
      </w:r>
      <w:proofErr w:type="spellEnd"/>
      <w:r w:rsidRPr="005C658A">
        <w:rPr>
          <w:rFonts w:cstheme="minorHAnsi"/>
          <w:sz w:val="24"/>
          <w:szCs w:val="24"/>
        </w:rPr>
        <w:t xml:space="preserve">, S., </w:t>
      </w:r>
      <w:proofErr w:type="spellStart"/>
      <w:r w:rsidRPr="005C658A">
        <w:rPr>
          <w:rFonts w:cstheme="minorHAnsi"/>
          <w:sz w:val="24"/>
          <w:szCs w:val="24"/>
        </w:rPr>
        <w:t>Schaeck</w:t>
      </w:r>
      <w:proofErr w:type="spellEnd"/>
      <w:r w:rsidRPr="005C658A">
        <w:rPr>
          <w:rFonts w:cstheme="minorHAnsi"/>
          <w:sz w:val="24"/>
          <w:szCs w:val="24"/>
        </w:rPr>
        <w:t>, K., &amp; Wolfe, S. (2007). Small European banks: Benefits from diversification</w:t>
      </w:r>
      <w:proofErr w:type="gramStart"/>
      <w:r w:rsidRPr="005C658A">
        <w:rPr>
          <w:rFonts w:cstheme="minorHAnsi"/>
          <w:sz w:val="24"/>
          <w:szCs w:val="24"/>
        </w:rPr>
        <w:t>?.</w:t>
      </w:r>
      <w:proofErr w:type="gramEnd"/>
      <w:r w:rsidRPr="005C658A">
        <w:rPr>
          <w:rFonts w:cstheme="minorHAnsi"/>
          <w:sz w:val="24"/>
          <w:szCs w:val="24"/>
        </w:rPr>
        <w:t xml:space="preserve"> </w:t>
      </w:r>
      <w:r w:rsidRPr="005C658A">
        <w:rPr>
          <w:rFonts w:cstheme="minorHAnsi"/>
          <w:i/>
          <w:iCs/>
          <w:sz w:val="24"/>
          <w:szCs w:val="24"/>
        </w:rPr>
        <w:t>Journal of Banking &amp; Finance</w:t>
      </w:r>
      <w:r w:rsidRPr="005C658A">
        <w:rPr>
          <w:rFonts w:cstheme="minorHAnsi"/>
          <w:sz w:val="24"/>
          <w:szCs w:val="24"/>
        </w:rPr>
        <w:t xml:space="preserve">, </w:t>
      </w:r>
      <w:r w:rsidRPr="005C658A">
        <w:rPr>
          <w:rFonts w:cstheme="minorHAnsi"/>
          <w:i/>
          <w:iCs/>
          <w:sz w:val="24"/>
          <w:szCs w:val="24"/>
        </w:rPr>
        <w:t>31</w:t>
      </w:r>
      <w:r w:rsidRPr="005C658A">
        <w:rPr>
          <w:rFonts w:cstheme="minorHAnsi"/>
          <w:sz w:val="24"/>
          <w:szCs w:val="24"/>
        </w:rPr>
        <w:t xml:space="preserve">(7), 1975–1998. </w:t>
      </w:r>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Mester</w:t>
      </w:r>
      <w:proofErr w:type="spellEnd"/>
      <w:r w:rsidRPr="005C658A">
        <w:rPr>
          <w:rFonts w:cstheme="minorHAnsi"/>
          <w:sz w:val="24"/>
          <w:szCs w:val="24"/>
        </w:rPr>
        <w:t xml:space="preserve">, L. J. (1996). </w:t>
      </w:r>
      <w:proofErr w:type="gramStart"/>
      <w:r w:rsidRPr="005C658A">
        <w:rPr>
          <w:rFonts w:cstheme="minorHAnsi"/>
          <w:sz w:val="24"/>
          <w:szCs w:val="24"/>
        </w:rPr>
        <w:t>A study of bank efficiency taking into account risk- preferences.</w:t>
      </w:r>
      <w:proofErr w:type="gramEnd"/>
      <w:r w:rsidRPr="005C658A">
        <w:rPr>
          <w:rFonts w:cstheme="minorHAnsi"/>
          <w:sz w:val="24"/>
          <w:szCs w:val="24"/>
        </w:rPr>
        <w:t xml:space="preserve"> </w:t>
      </w:r>
      <w:r w:rsidRPr="005C658A">
        <w:rPr>
          <w:rFonts w:cstheme="minorHAnsi"/>
          <w:i/>
          <w:iCs/>
          <w:sz w:val="24"/>
          <w:szCs w:val="24"/>
        </w:rPr>
        <w:t>Journal of Banking &amp; Finance</w:t>
      </w:r>
      <w:r w:rsidRPr="005C658A">
        <w:rPr>
          <w:rFonts w:cstheme="minorHAnsi"/>
          <w:sz w:val="24"/>
          <w:szCs w:val="24"/>
        </w:rPr>
        <w:t xml:space="preserve">, </w:t>
      </w:r>
      <w:r w:rsidRPr="005C658A">
        <w:rPr>
          <w:rFonts w:cstheme="minorHAnsi"/>
          <w:i/>
          <w:iCs/>
          <w:sz w:val="24"/>
          <w:szCs w:val="24"/>
        </w:rPr>
        <w:t>20</w:t>
      </w:r>
      <w:r w:rsidRPr="005C658A">
        <w:rPr>
          <w:rFonts w:cstheme="minorHAnsi"/>
          <w:sz w:val="24"/>
          <w:szCs w:val="24"/>
        </w:rPr>
        <w:t xml:space="preserve">(6), 1025–1045. </w:t>
      </w:r>
    </w:p>
    <w:p w:rsidR="00955C42" w:rsidRPr="005C658A" w:rsidRDefault="00955C42" w:rsidP="00955C42">
      <w:pPr>
        <w:spacing w:line="240" w:lineRule="auto"/>
        <w:ind w:left="360" w:hanging="360"/>
        <w:contextualSpacing/>
        <w:rPr>
          <w:rFonts w:cstheme="minorHAnsi"/>
          <w:sz w:val="24"/>
          <w:szCs w:val="24"/>
        </w:rPr>
      </w:pPr>
      <w:r w:rsidRPr="005C658A">
        <w:rPr>
          <w:rFonts w:cstheme="minorHAnsi"/>
          <w:sz w:val="24"/>
          <w:szCs w:val="24"/>
        </w:rPr>
        <w:t xml:space="preserve">Meyer, L. (2000). </w:t>
      </w:r>
      <w:r w:rsidRPr="005C658A">
        <w:rPr>
          <w:rFonts w:cstheme="minorHAnsi"/>
          <w:iCs/>
          <w:sz w:val="24"/>
          <w:szCs w:val="24"/>
        </w:rPr>
        <w:t>Why risk management is important for global financial institutions</w:t>
      </w:r>
      <w:r w:rsidRPr="005C658A">
        <w:rPr>
          <w:rFonts w:cstheme="minorHAnsi"/>
          <w:sz w:val="24"/>
          <w:szCs w:val="24"/>
        </w:rPr>
        <w:t xml:space="preserve">. </w:t>
      </w:r>
      <w:r w:rsidRPr="005C658A">
        <w:rPr>
          <w:rFonts w:cstheme="minorHAnsi"/>
          <w:i/>
          <w:sz w:val="24"/>
          <w:szCs w:val="24"/>
        </w:rPr>
        <w:t>BIS Review, 68</w:t>
      </w:r>
      <w:r w:rsidRPr="005C658A">
        <w:rPr>
          <w:rFonts w:cstheme="minorHAnsi"/>
          <w:sz w:val="24"/>
          <w:szCs w:val="24"/>
        </w:rPr>
        <w:t xml:space="preserve">, 1156–1172. </w:t>
      </w:r>
    </w:p>
    <w:p w:rsidR="00955C42" w:rsidRPr="007B57A7"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Nethra</w:t>
      </w:r>
      <w:proofErr w:type="spellEnd"/>
      <w:r w:rsidRPr="005C658A">
        <w:rPr>
          <w:rFonts w:cstheme="minorHAnsi"/>
          <w:sz w:val="24"/>
          <w:szCs w:val="24"/>
        </w:rPr>
        <w:t xml:space="preserve">, N., &amp; </w:t>
      </w:r>
      <w:proofErr w:type="spellStart"/>
      <w:r w:rsidRPr="005C658A">
        <w:rPr>
          <w:rFonts w:cstheme="minorHAnsi"/>
          <w:sz w:val="24"/>
          <w:szCs w:val="24"/>
        </w:rPr>
        <w:t>Kushalappa</w:t>
      </w:r>
      <w:proofErr w:type="spellEnd"/>
      <w:r w:rsidRPr="005C658A">
        <w:rPr>
          <w:rFonts w:cstheme="minorHAnsi"/>
          <w:sz w:val="24"/>
          <w:szCs w:val="24"/>
        </w:rPr>
        <w:t xml:space="preserve">, S. (2015). </w:t>
      </w:r>
      <w:proofErr w:type="gramStart"/>
      <w:r w:rsidRPr="005C658A">
        <w:rPr>
          <w:rFonts w:cstheme="minorHAnsi"/>
          <w:sz w:val="24"/>
          <w:szCs w:val="24"/>
        </w:rPr>
        <w:t>Impact of financial solvency on stock returns.</w:t>
      </w:r>
      <w:proofErr w:type="gramEnd"/>
      <w:r w:rsidRPr="005C658A">
        <w:rPr>
          <w:rFonts w:cstheme="minorHAnsi"/>
          <w:sz w:val="24"/>
          <w:szCs w:val="24"/>
        </w:rPr>
        <w:t xml:space="preserve"> </w:t>
      </w:r>
      <w:r w:rsidRPr="005C658A">
        <w:rPr>
          <w:rFonts w:cstheme="minorHAnsi"/>
          <w:i/>
          <w:iCs/>
          <w:sz w:val="24"/>
          <w:szCs w:val="24"/>
        </w:rPr>
        <w:t>International Journal of Trade &amp; Global Business Perspectives</w:t>
      </w:r>
      <w:r w:rsidRPr="005C658A">
        <w:rPr>
          <w:rFonts w:cstheme="minorHAnsi"/>
          <w:sz w:val="24"/>
          <w:szCs w:val="24"/>
        </w:rPr>
        <w:t xml:space="preserve">, </w:t>
      </w:r>
      <w:r w:rsidRPr="005C658A">
        <w:rPr>
          <w:rFonts w:cstheme="minorHAnsi"/>
          <w:i/>
          <w:iCs/>
          <w:sz w:val="24"/>
          <w:szCs w:val="24"/>
        </w:rPr>
        <w:t>4</w:t>
      </w:r>
      <w:r w:rsidRPr="005C658A">
        <w:rPr>
          <w:rFonts w:cstheme="minorHAnsi"/>
          <w:sz w:val="24"/>
          <w:szCs w:val="24"/>
        </w:rPr>
        <w:t xml:space="preserve">(1), 1610–1614.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 xml:space="preserve">Nguyen, M., </w:t>
      </w:r>
      <w:proofErr w:type="spellStart"/>
      <w:r w:rsidRPr="005C658A">
        <w:rPr>
          <w:rFonts w:cstheme="minorHAnsi"/>
          <w:sz w:val="24"/>
          <w:szCs w:val="24"/>
          <w:shd w:val="clear" w:color="auto" w:fill="FFFFFF"/>
        </w:rPr>
        <w:t>Skully</w:t>
      </w:r>
      <w:proofErr w:type="spellEnd"/>
      <w:r w:rsidRPr="005C658A">
        <w:rPr>
          <w:rFonts w:cstheme="minorHAnsi"/>
          <w:sz w:val="24"/>
          <w:szCs w:val="24"/>
          <w:shd w:val="clear" w:color="auto" w:fill="FFFFFF"/>
        </w:rPr>
        <w:t xml:space="preserve">, M., &amp; </w:t>
      </w:r>
      <w:proofErr w:type="spellStart"/>
      <w:r w:rsidRPr="005C658A">
        <w:rPr>
          <w:rFonts w:cstheme="minorHAnsi"/>
          <w:sz w:val="24"/>
          <w:szCs w:val="24"/>
          <w:shd w:val="clear" w:color="auto" w:fill="FFFFFF"/>
        </w:rPr>
        <w:t>Perera</w:t>
      </w:r>
      <w:proofErr w:type="spellEnd"/>
      <w:r w:rsidRPr="005C658A">
        <w:rPr>
          <w:rFonts w:cstheme="minorHAnsi"/>
          <w:sz w:val="24"/>
          <w:szCs w:val="24"/>
          <w:shd w:val="clear" w:color="auto" w:fill="FFFFFF"/>
        </w:rPr>
        <w:t>, S. (2012).</w:t>
      </w:r>
      <w:proofErr w:type="gramEnd"/>
      <w:r w:rsidRPr="005C658A">
        <w:rPr>
          <w:rFonts w:cstheme="minorHAnsi"/>
          <w:sz w:val="24"/>
          <w:szCs w:val="24"/>
          <w:shd w:val="clear" w:color="auto" w:fill="FFFFFF"/>
        </w:rPr>
        <w:t xml:space="preserve"> Bank market power and revenue diversification: Evidence from selected ASEAN countries. </w:t>
      </w:r>
      <w:r w:rsidRPr="005C658A">
        <w:rPr>
          <w:rFonts w:cstheme="minorHAnsi"/>
          <w:i/>
          <w:iCs/>
          <w:sz w:val="24"/>
          <w:szCs w:val="24"/>
          <w:shd w:val="clear" w:color="auto" w:fill="FFFFFF"/>
        </w:rPr>
        <w:t>Journal of Asian Economics</w:t>
      </w:r>
      <w:r w:rsidRPr="005C658A">
        <w:rPr>
          <w:rFonts w:cstheme="minorHAnsi"/>
          <w:sz w:val="24"/>
          <w:szCs w:val="24"/>
          <w:shd w:val="clear" w:color="auto" w:fill="FFFFFF"/>
        </w:rPr>
        <w:t>, </w:t>
      </w:r>
      <w:r w:rsidRPr="005C658A">
        <w:rPr>
          <w:rFonts w:cstheme="minorHAnsi"/>
          <w:i/>
          <w:iCs/>
          <w:sz w:val="24"/>
          <w:szCs w:val="24"/>
          <w:shd w:val="clear" w:color="auto" w:fill="FFFFFF"/>
        </w:rPr>
        <w:t>23</w:t>
      </w:r>
      <w:r w:rsidRPr="005C658A">
        <w:rPr>
          <w:rFonts w:cstheme="minorHAnsi"/>
          <w:sz w:val="24"/>
          <w:szCs w:val="24"/>
          <w:shd w:val="clear" w:color="auto" w:fill="FFFFFF"/>
        </w:rPr>
        <w:t>(6), 688-700.</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t>O’Connor, D., &amp; Keane, M. (2011).</w:t>
      </w:r>
      <w:proofErr w:type="gramEnd"/>
      <w:r w:rsidRPr="005C658A">
        <w:rPr>
          <w:rFonts w:cstheme="minorHAnsi"/>
          <w:sz w:val="24"/>
          <w:szCs w:val="24"/>
          <w:shd w:val="clear" w:color="auto" w:fill="FFFFFF"/>
        </w:rPr>
        <w:t xml:space="preserve"> Empirical issues relating to dairy commodity price volatility. In I. </w:t>
      </w:r>
      <w:proofErr w:type="spellStart"/>
      <w:r w:rsidRPr="005C658A">
        <w:rPr>
          <w:rFonts w:cstheme="minorHAnsi"/>
          <w:sz w:val="24"/>
          <w:szCs w:val="24"/>
          <w:shd w:val="clear" w:color="auto" w:fill="FFFFFF"/>
        </w:rPr>
        <w:t>Piot-Lepetit</w:t>
      </w:r>
      <w:proofErr w:type="spellEnd"/>
      <w:r w:rsidRPr="005C658A">
        <w:rPr>
          <w:rFonts w:cstheme="minorHAnsi"/>
          <w:sz w:val="24"/>
          <w:szCs w:val="24"/>
          <w:shd w:val="clear" w:color="auto" w:fill="FFFFFF"/>
        </w:rPr>
        <w:t xml:space="preserve"> &amp; R. </w:t>
      </w:r>
      <w:proofErr w:type="spellStart"/>
      <w:r w:rsidRPr="005C658A">
        <w:rPr>
          <w:rFonts w:cstheme="minorHAnsi"/>
          <w:sz w:val="24"/>
          <w:szCs w:val="24"/>
          <w:shd w:val="clear" w:color="auto" w:fill="FFFFFF"/>
        </w:rPr>
        <w:t>M’Barek</w:t>
      </w:r>
      <w:proofErr w:type="spellEnd"/>
      <w:r w:rsidRPr="005C658A">
        <w:rPr>
          <w:rFonts w:cstheme="minorHAnsi"/>
          <w:sz w:val="24"/>
          <w:szCs w:val="24"/>
          <w:shd w:val="clear" w:color="auto" w:fill="FFFFFF"/>
        </w:rPr>
        <w:t xml:space="preserve"> (Eds.), </w:t>
      </w:r>
      <w:r w:rsidRPr="005C658A">
        <w:rPr>
          <w:rFonts w:cstheme="minorHAnsi"/>
          <w:i/>
          <w:iCs/>
          <w:sz w:val="24"/>
          <w:szCs w:val="24"/>
          <w:shd w:val="clear" w:color="auto" w:fill="FFFFFF"/>
        </w:rPr>
        <w:t xml:space="preserve">Methods to </w:t>
      </w:r>
      <w:proofErr w:type="spellStart"/>
      <w:r w:rsidRPr="005C658A">
        <w:rPr>
          <w:rFonts w:cstheme="minorHAnsi"/>
          <w:i/>
          <w:iCs/>
          <w:sz w:val="24"/>
          <w:szCs w:val="24"/>
          <w:shd w:val="clear" w:color="auto" w:fill="FFFFFF"/>
        </w:rPr>
        <w:t>analyse</w:t>
      </w:r>
      <w:proofErr w:type="spellEnd"/>
      <w:r w:rsidRPr="005C658A">
        <w:rPr>
          <w:rFonts w:cstheme="minorHAnsi"/>
          <w:i/>
          <w:iCs/>
          <w:sz w:val="24"/>
          <w:szCs w:val="24"/>
          <w:shd w:val="clear" w:color="auto" w:fill="FFFFFF"/>
        </w:rPr>
        <w:t xml:space="preserve"> agricultural commodity price volatility</w:t>
      </w:r>
      <w:r w:rsidRPr="005C658A">
        <w:rPr>
          <w:rFonts w:cstheme="minorHAnsi"/>
          <w:sz w:val="24"/>
          <w:szCs w:val="24"/>
          <w:shd w:val="clear" w:color="auto" w:fill="FFFFFF"/>
        </w:rPr>
        <w:t xml:space="preserve"> (pp. 63-83). </w:t>
      </w:r>
      <w:proofErr w:type="gramStart"/>
      <w:r w:rsidRPr="005C658A">
        <w:rPr>
          <w:rFonts w:cstheme="minorHAnsi"/>
          <w:sz w:val="24"/>
          <w:szCs w:val="24"/>
          <w:shd w:val="clear" w:color="auto" w:fill="FFFFFF"/>
        </w:rPr>
        <w:t>Springer, New York, NY.</w:t>
      </w:r>
      <w:proofErr w:type="gramEnd"/>
    </w:p>
    <w:p w:rsidR="00955C42" w:rsidRPr="005C658A" w:rsidRDefault="00955C42" w:rsidP="00955C42">
      <w:pPr>
        <w:widowControl w:val="0"/>
        <w:autoSpaceDE w:val="0"/>
        <w:autoSpaceDN w:val="0"/>
        <w:adjustRightInd w:val="0"/>
        <w:spacing w:line="240" w:lineRule="auto"/>
        <w:ind w:left="360" w:hanging="360"/>
        <w:contextualSpacing/>
        <w:rPr>
          <w:sz w:val="24"/>
          <w:szCs w:val="24"/>
        </w:rPr>
      </w:pPr>
      <w:proofErr w:type="spellStart"/>
      <w:r w:rsidRPr="005C658A">
        <w:rPr>
          <w:rFonts w:cstheme="minorHAnsi"/>
          <w:sz w:val="24"/>
          <w:szCs w:val="24"/>
          <w:shd w:val="clear" w:color="auto" w:fill="FFFFFF"/>
        </w:rPr>
        <w:t>Olalekan</w:t>
      </w:r>
      <w:proofErr w:type="spellEnd"/>
      <w:r w:rsidRPr="005C658A">
        <w:rPr>
          <w:rFonts w:cstheme="minorHAnsi"/>
          <w:sz w:val="24"/>
          <w:szCs w:val="24"/>
          <w:shd w:val="clear" w:color="auto" w:fill="FFFFFF"/>
        </w:rPr>
        <w:t xml:space="preserve">, A., &amp; </w:t>
      </w:r>
      <w:proofErr w:type="spellStart"/>
      <w:r w:rsidRPr="005C658A">
        <w:rPr>
          <w:rFonts w:cstheme="minorHAnsi"/>
          <w:sz w:val="24"/>
          <w:szCs w:val="24"/>
          <w:shd w:val="clear" w:color="auto" w:fill="FFFFFF"/>
        </w:rPr>
        <w:t>Adeyinka</w:t>
      </w:r>
      <w:proofErr w:type="spellEnd"/>
      <w:r w:rsidRPr="005C658A">
        <w:rPr>
          <w:rFonts w:cstheme="minorHAnsi"/>
          <w:sz w:val="24"/>
          <w:szCs w:val="24"/>
          <w:shd w:val="clear" w:color="auto" w:fill="FFFFFF"/>
        </w:rPr>
        <w:t xml:space="preserve">, S. (2013). Capital adequacy and banks’ profitability: </w:t>
      </w:r>
    </w:p>
    <w:p w:rsidR="00955C42" w:rsidRPr="005C658A" w:rsidRDefault="00955C42" w:rsidP="00955C42">
      <w:pPr>
        <w:widowControl w:val="0"/>
        <w:autoSpaceDE w:val="0"/>
        <w:autoSpaceDN w:val="0"/>
        <w:adjustRightInd w:val="0"/>
        <w:spacing w:line="240" w:lineRule="auto"/>
        <w:ind w:left="360" w:hanging="360"/>
        <w:contextualSpacing/>
        <w:rPr>
          <w:rFonts w:cstheme="minorHAnsi"/>
          <w:sz w:val="24"/>
          <w:szCs w:val="24"/>
          <w:shd w:val="clear" w:color="auto" w:fill="FFFFFF"/>
        </w:rPr>
      </w:pPr>
      <w:sdt>
        <w:sdtPr>
          <w:rPr>
            <w:sz w:val="24"/>
            <w:szCs w:val="24"/>
          </w:rPr>
          <w:id w:val="22594205"/>
          <w:docPartObj>
            <w:docPartGallery w:val="Bibliographies"/>
            <w:docPartUnique/>
          </w:docPartObj>
        </w:sdtPr>
        <w:sdtContent>
          <w:sdt>
            <w:sdtPr>
              <w:rPr>
                <w:sz w:val="24"/>
                <w:szCs w:val="24"/>
              </w:rPr>
              <w:id w:val="111145805"/>
              <w:bibliography/>
            </w:sdtPr>
            <w:sdtContent/>
          </w:sdt>
        </w:sdtContent>
      </w:sdt>
      <w:proofErr w:type="gramStart"/>
      <w:r w:rsidRPr="005C658A">
        <w:rPr>
          <w:rFonts w:cstheme="minorHAnsi"/>
          <w:sz w:val="24"/>
          <w:szCs w:val="24"/>
          <w:shd w:val="clear" w:color="auto" w:fill="FFFFFF"/>
        </w:rPr>
        <w:t>An empirical</w:t>
      </w:r>
      <w:proofErr w:type="gramEnd"/>
      <w:r w:rsidRPr="005C658A">
        <w:rPr>
          <w:rFonts w:cstheme="minorHAnsi"/>
          <w:sz w:val="24"/>
          <w:szCs w:val="24"/>
          <w:shd w:val="clear" w:color="auto" w:fill="FFFFFF"/>
        </w:rPr>
        <w:t xml:space="preserve"> evidence from Nigeria. </w:t>
      </w:r>
      <w:r w:rsidRPr="005C658A">
        <w:rPr>
          <w:rFonts w:cstheme="minorHAnsi"/>
          <w:i/>
          <w:iCs/>
          <w:sz w:val="24"/>
          <w:szCs w:val="24"/>
          <w:shd w:val="clear" w:color="auto" w:fill="FFFFFF"/>
        </w:rPr>
        <w:t>American International Journal of Contemporary Research</w:t>
      </w:r>
      <w:r w:rsidRPr="005C658A">
        <w:rPr>
          <w:rFonts w:cstheme="minorHAnsi"/>
          <w:sz w:val="24"/>
          <w:szCs w:val="24"/>
          <w:shd w:val="clear" w:color="auto" w:fill="FFFFFF"/>
        </w:rPr>
        <w:t>, </w:t>
      </w:r>
      <w:r w:rsidRPr="005C658A">
        <w:rPr>
          <w:rFonts w:cstheme="minorHAnsi"/>
          <w:i/>
          <w:iCs/>
          <w:sz w:val="24"/>
          <w:szCs w:val="24"/>
          <w:shd w:val="clear" w:color="auto" w:fill="FFFFFF"/>
        </w:rPr>
        <w:t>3</w:t>
      </w:r>
      <w:r w:rsidRPr="005C658A">
        <w:rPr>
          <w:rFonts w:cstheme="minorHAnsi"/>
          <w:sz w:val="24"/>
          <w:szCs w:val="24"/>
          <w:shd w:val="clear" w:color="auto" w:fill="FFFFFF"/>
        </w:rPr>
        <w:t>(10), 87–93.</w:t>
      </w:r>
    </w:p>
    <w:p w:rsidR="00955C42" w:rsidRPr="005C658A" w:rsidRDefault="00955C42" w:rsidP="00955C42">
      <w:pPr>
        <w:pStyle w:val="Bibliography"/>
        <w:spacing w:line="240" w:lineRule="auto"/>
        <w:ind w:left="360" w:hanging="360"/>
        <w:contextualSpacing/>
        <w:jc w:val="both"/>
        <w:rPr>
          <w:noProof/>
          <w:sz w:val="24"/>
          <w:szCs w:val="24"/>
        </w:rPr>
      </w:pPr>
      <w:r w:rsidRPr="005C658A">
        <w:rPr>
          <w:noProof/>
          <w:sz w:val="24"/>
          <w:szCs w:val="24"/>
        </w:rPr>
        <w:t xml:space="preserve">Perera, L. A., &amp; Morawakage, P. S. (2016). Credit Risk Management and Shareholder Value Creation:with Special Reference to Listed Commercial Banks in Sri Lanka. </w:t>
      </w:r>
      <w:r w:rsidRPr="005C658A">
        <w:rPr>
          <w:i/>
          <w:iCs/>
          <w:noProof/>
          <w:sz w:val="24"/>
          <w:szCs w:val="24"/>
        </w:rPr>
        <w:t>Kelaniya Journal of Management</w:t>
      </w:r>
      <w:r w:rsidRPr="005C658A">
        <w:rPr>
          <w:noProof/>
          <w:sz w:val="24"/>
          <w:szCs w:val="24"/>
        </w:rPr>
        <w:t xml:space="preserve"> , 1-16.</w:t>
      </w:r>
    </w:p>
    <w:p w:rsidR="00955C42" w:rsidRPr="005C658A" w:rsidRDefault="00955C42" w:rsidP="00955C42">
      <w:pPr>
        <w:spacing w:line="240" w:lineRule="auto"/>
        <w:ind w:left="360" w:hanging="360"/>
        <w:contextualSpacing/>
        <w:textAlignment w:val="baseline"/>
        <w:rPr>
          <w:rFonts w:cstheme="minorHAnsi"/>
          <w:sz w:val="24"/>
          <w:szCs w:val="24"/>
          <w:shd w:val="clear" w:color="auto" w:fill="FFFFFF"/>
        </w:rPr>
      </w:pPr>
      <w:proofErr w:type="gramStart"/>
      <w:r w:rsidRPr="005C658A">
        <w:rPr>
          <w:rFonts w:cstheme="minorHAnsi"/>
          <w:sz w:val="24"/>
          <w:szCs w:val="24"/>
          <w:shd w:val="clear" w:color="auto" w:fill="FFFFFF"/>
        </w:rPr>
        <w:t xml:space="preserve">Pettit, R. R., &amp; </w:t>
      </w:r>
      <w:proofErr w:type="spellStart"/>
      <w:r w:rsidRPr="005C658A">
        <w:rPr>
          <w:rFonts w:cstheme="minorHAnsi"/>
          <w:sz w:val="24"/>
          <w:szCs w:val="24"/>
          <w:shd w:val="clear" w:color="auto" w:fill="FFFFFF"/>
        </w:rPr>
        <w:t>Westerfield</w:t>
      </w:r>
      <w:proofErr w:type="spellEnd"/>
      <w:r w:rsidRPr="005C658A">
        <w:rPr>
          <w:rFonts w:cstheme="minorHAnsi"/>
          <w:sz w:val="24"/>
          <w:szCs w:val="24"/>
          <w:shd w:val="clear" w:color="auto" w:fill="FFFFFF"/>
        </w:rPr>
        <w:t>, R. (1974).</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Using the capital asset pricing model and the market model to predict security returns.</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Journal of Financial and Quantitative Analysis</w:t>
      </w:r>
      <w:r w:rsidRPr="005C658A">
        <w:rPr>
          <w:rFonts w:cstheme="minorHAnsi"/>
          <w:sz w:val="24"/>
          <w:szCs w:val="24"/>
          <w:shd w:val="clear" w:color="auto" w:fill="FFFFFF"/>
        </w:rPr>
        <w:t>, </w:t>
      </w:r>
      <w:r w:rsidRPr="005C658A">
        <w:rPr>
          <w:rFonts w:cstheme="minorHAnsi"/>
          <w:i/>
          <w:iCs/>
          <w:sz w:val="24"/>
          <w:szCs w:val="24"/>
          <w:shd w:val="clear" w:color="auto" w:fill="FFFFFF"/>
        </w:rPr>
        <w:t>9</w:t>
      </w:r>
      <w:r w:rsidRPr="005C658A">
        <w:rPr>
          <w:rFonts w:cstheme="minorHAnsi"/>
          <w:sz w:val="24"/>
          <w:szCs w:val="24"/>
          <w:shd w:val="clear" w:color="auto" w:fill="FFFFFF"/>
        </w:rPr>
        <w:t>(4), 579-605.</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r w:rsidRPr="005C658A">
        <w:rPr>
          <w:rFonts w:cstheme="minorHAnsi"/>
          <w:sz w:val="24"/>
          <w:szCs w:val="24"/>
          <w:shd w:val="clear" w:color="auto" w:fill="FFFFFF"/>
        </w:rPr>
        <w:t>Reisen</w:t>
      </w:r>
      <w:proofErr w:type="spellEnd"/>
      <w:r w:rsidRPr="005C658A">
        <w:rPr>
          <w:rFonts w:cstheme="minorHAnsi"/>
          <w:sz w:val="24"/>
          <w:szCs w:val="24"/>
          <w:shd w:val="clear" w:color="auto" w:fill="FFFFFF"/>
        </w:rPr>
        <w:t>, H. (2001, May). Will Basel II contribute to convergence in international capital flows</w:t>
      </w:r>
      <w:proofErr w:type="gramStart"/>
      <w:r w:rsidRPr="005C658A">
        <w:rPr>
          <w:rFonts w:cstheme="minorHAnsi"/>
          <w:sz w:val="24"/>
          <w:szCs w:val="24"/>
          <w:shd w:val="clear" w:color="auto" w:fill="FFFFFF"/>
        </w:rPr>
        <w:t>?.</w:t>
      </w:r>
      <w:proofErr w:type="gramEnd"/>
      <w:r w:rsidRPr="005C658A">
        <w:rPr>
          <w:rFonts w:cstheme="minorHAnsi"/>
          <w:sz w:val="24"/>
          <w:szCs w:val="24"/>
          <w:shd w:val="clear" w:color="auto" w:fill="FFFFFF"/>
        </w:rPr>
        <w:t xml:space="preserve"> </w:t>
      </w:r>
      <w:proofErr w:type="gramStart"/>
      <w:r w:rsidRPr="005C658A">
        <w:rPr>
          <w:rFonts w:cstheme="minorHAnsi"/>
          <w:sz w:val="24"/>
          <w:szCs w:val="24"/>
          <w:shd w:val="clear" w:color="auto" w:fill="FFFFFF"/>
        </w:rPr>
        <w:t>In </w:t>
      </w:r>
      <w:r w:rsidRPr="005C658A">
        <w:rPr>
          <w:rFonts w:cstheme="minorHAnsi"/>
          <w:i/>
          <w:iCs/>
          <w:sz w:val="24"/>
          <w:szCs w:val="24"/>
          <w:shd w:val="clear" w:color="auto" w:fill="FFFFFF"/>
        </w:rPr>
        <w:t>Austrian National Bank Conference, Vienna</w:t>
      </w:r>
      <w:r w:rsidRPr="005C658A">
        <w:rPr>
          <w:rFonts w:cstheme="minorHAnsi"/>
          <w:sz w:val="24"/>
          <w:szCs w:val="24"/>
          <w:shd w:val="clear" w:color="auto" w:fill="FFFFFF"/>
        </w:rPr>
        <w:t> (Vol. 31).</w:t>
      </w:r>
      <w:proofErr w:type="gramEnd"/>
    </w:p>
    <w:p w:rsidR="00955C42" w:rsidRPr="007B57A7"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Saeidi</w:t>
      </w:r>
      <w:proofErr w:type="spellEnd"/>
      <w:r w:rsidRPr="005C658A">
        <w:rPr>
          <w:rFonts w:cstheme="minorHAnsi"/>
          <w:sz w:val="24"/>
          <w:szCs w:val="24"/>
        </w:rPr>
        <w:t xml:space="preserve">, A., &amp; </w:t>
      </w:r>
      <w:proofErr w:type="spellStart"/>
      <w:r w:rsidRPr="005C658A">
        <w:rPr>
          <w:rFonts w:cstheme="minorHAnsi"/>
          <w:sz w:val="24"/>
          <w:szCs w:val="24"/>
        </w:rPr>
        <w:t>Kamali</w:t>
      </w:r>
      <w:proofErr w:type="spellEnd"/>
      <w:r w:rsidRPr="005C658A">
        <w:rPr>
          <w:rFonts w:cstheme="minorHAnsi"/>
          <w:sz w:val="24"/>
          <w:szCs w:val="24"/>
        </w:rPr>
        <w:t>, E. (2016).</w:t>
      </w:r>
      <w:proofErr w:type="gramEnd"/>
      <w:r w:rsidRPr="005C658A">
        <w:rPr>
          <w:rFonts w:cstheme="minorHAnsi"/>
          <w:sz w:val="24"/>
          <w:szCs w:val="24"/>
        </w:rPr>
        <w:t xml:space="preserve"> </w:t>
      </w:r>
      <w:proofErr w:type="gramStart"/>
      <w:r w:rsidRPr="005C658A">
        <w:rPr>
          <w:rFonts w:cstheme="minorHAnsi"/>
          <w:sz w:val="24"/>
          <w:szCs w:val="24"/>
        </w:rPr>
        <w:t>Investigating the relationship between stock returns and situation of risk management at accepted banks from the perspective of shareholders in stock exchange of Iran.</w:t>
      </w:r>
      <w:proofErr w:type="gramEnd"/>
      <w:r w:rsidRPr="005C658A">
        <w:rPr>
          <w:rFonts w:cstheme="minorHAnsi"/>
          <w:sz w:val="24"/>
          <w:szCs w:val="24"/>
        </w:rPr>
        <w:t xml:space="preserve"> </w:t>
      </w:r>
      <w:r w:rsidRPr="005C658A">
        <w:rPr>
          <w:rFonts w:cstheme="minorHAnsi"/>
          <w:i/>
          <w:iCs/>
          <w:sz w:val="24"/>
          <w:szCs w:val="24"/>
        </w:rPr>
        <w:t>Journal of Fundamental and Applied Sciences</w:t>
      </w:r>
      <w:r w:rsidRPr="005C658A">
        <w:rPr>
          <w:rFonts w:cstheme="minorHAnsi"/>
          <w:sz w:val="24"/>
          <w:szCs w:val="24"/>
        </w:rPr>
        <w:t xml:space="preserve">, </w:t>
      </w:r>
      <w:r w:rsidRPr="005C658A">
        <w:rPr>
          <w:rFonts w:cstheme="minorHAnsi"/>
          <w:i/>
          <w:iCs/>
          <w:sz w:val="24"/>
          <w:szCs w:val="24"/>
        </w:rPr>
        <w:t>8</w:t>
      </w:r>
      <w:r w:rsidRPr="005C658A">
        <w:rPr>
          <w:rFonts w:cstheme="minorHAnsi"/>
          <w:sz w:val="24"/>
          <w:szCs w:val="24"/>
        </w:rPr>
        <w:t xml:space="preserve">(2S), 1134–1150.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gramStart"/>
      <w:r w:rsidRPr="005C658A">
        <w:rPr>
          <w:rFonts w:cstheme="minorHAnsi"/>
          <w:sz w:val="24"/>
          <w:szCs w:val="24"/>
          <w:shd w:val="clear" w:color="auto" w:fill="FFFFFF"/>
        </w:rPr>
        <w:lastRenderedPageBreak/>
        <w:t>Schumacher, M. L., &amp; Barnhill, M. T. M. (2011).</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Modeling correlated systemic liquidity and solvency risks in a financial environment with incomplete information</w:t>
      </w:r>
      <w:r w:rsidRPr="005C658A">
        <w:rPr>
          <w:rFonts w:cstheme="minorHAnsi"/>
          <w:sz w:val="24"/>
          <w:szCs w:val="24"/>
          <w:shd w:val="clear" w:color="auto" w:fill="FFFFFF"/>
        </w:rPr>
        <w:t xml:space="preserve"> (No. 11-263). </w:t>
      </w:r>
      <w:proofErr w:type="gramStart"/>
      <w:r w:rsidRPr="005C658A">
        <w:rPr>
          <w:rFonts w:cstheme="minorHAnsi"/>
          <w:sz w:val="24"/>
          <w:szCs w:val="24"/>
          <w:shd w:val="clear" w:color="auto" w:fill="FFFFFF"/>
        </w:rPr>
        <w:t>International Monetary Fund.</w:t>
      </w:r>
      <w:proofErr w:type="gramEnd"/>
    </w:p>
    <w:p w:rsidR="00955C42" w:rsidRPr="005C658A"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Sensarma</w:t>
      </w:r>
      <w:proofErr w:type="spellEnd"/>
      <w:r w:rsidRPr="005C658A">
        <w:rPr>
          <w:rFonts w:cstheme="minorHAnsi"/>
          <w:sz w:val="24"/>
          <w:szCs w:val="24"/>
        </w:rPr>
        <w:t xml:space="preserve">, R., &amp; </w:t>
      </w:r>
      <w:proofErr w:type="spellStart"/>
      <w:r w:rsidRPr="005C658A">
        <w:rPr>
          <w:rFonts w:cstheme="minorHAnsi"/>
          <w:sz w:val="24"/>
          <w:szCs w:val="24"/>
        </w:rPr>
        <w:t>Jayadev</w:t>
      </w:r>
      <w:proofErr w:type="spellEnd"/>
      <w:r w:rsidRPr="005C658A">
        <w:rPr>
          <w:rFonts w:cstheme="minorHAnsi"/>
          <w:sz w:val="24"/>
          <w:szCs w:val="24"/>
        </w:rPr>
        <w:t>, M. (2009).</w:t>
      </w:r>
      <w:proofErr w:type="gramEnd"/>
      <w:r w:rsidRPr="005C658A">
        <w:rPr>
          <w:rFonts w:cstheme="minorHAnsi"/>
          <w:sz w:val="24"/>
          <w:szCs w:val="24"/>
        </w:rPr>
        <w:t xml:space="preserve"> Are bank stocks sensitive to risk management</w:t>
      </w:r>
      <w:proofErr w:type="gramStart"/>
      <w:r w:rsidRPr="005C658A">
        <w:rPr>
          <w:rFonts w:cstheme="minorHAnsi"/>
          <w:sz w:val="24"/>
          <w:szCs w:val="24"/>
        </w:rPr>
        <w:t>?.</w:t>
      </w:r>
      <w:proofErr w:type="gramEnd"/>
      <w:r w:rsidRPr="005C658A">
        <w:rPr>
          <w:rFonts w:cstheme="minorHAnsi"/>
          <w:sz w:val="24"/>
          <w:szCs w:val="24"/>
        </w:rPr>
        <w:t xml:space="preserve"> </w:t>
      </w:r>
      <w:r w:rsidRPr="005C658A">
        <w:rPr>
          <w:rFonts w:cstheme="minorHAnsi"/>
          <w:i/>
          <w:iCs/>
          <w:sz w:val="24"/>
          <w:szCs w:val="24"/>
        </w:rPr>
        <w:t>The Journal of Risk Finance</w:t>
      </w:r>
      <w:r w:rsidRPr="005C658A">
        <w:rPr>
          <w:rFonts w:cstheme="minorHAnsi"/>
          <w:sz w:val="24"/>
          <w:szCs w:val="24"/>
        </w:rPr>
        <w:t xml:space="preserve">, </w:t>
      </w:r>
      <w:r w:rsidRPr="005C658A">
        <w:rPr>
          <w:rFonts w:cstheme="minorHAnsi"/>
          <w:i/>
          <w:iCs/>
          <w:sz w:val="24"/>
          <w:szCs w:val="24"/>
        </w:rPr>
        <w:t>10</w:t>
      </w:r>
      <w:r w:rsidRPr="005C658A">
        <w:rPr>
          <w:rFonts w:cstheme="minorHAnsi"/>
          <w:sz w:val="24"/>
          <w:szCs w:val="24"/>
        </w:rPr>
        <w:t xml:space="preserve">(1), 7–22. </w:t>
      </w:r>
    </w:p>
    <w:p w:rsidR="00955C42" w:rsidRPr="005C658A" w:rsidRDefault="00955C42" w:rsidP="00955C42">
      <w:pPr>
        <w:spacing w:line="240" w:lineRule="auto"/>
        <w:ind w:left="360" w:hanging="360"/>
        <w:contextualSpacing/>
        <w:rPr>
          <w:rFonts w:cstheme="minorHAnsi"/>
          <w:sz w:val="24"/>
          <w:szCs w:val="24"/>
        </w:rPr>
      </w:pPr>
      <w:r w:rsidRPr="005C658A">
        <w:rPr>
          <w:rFonts w:cstheme="minorHAnsi"/>
          <w:sz w:val="24"/>
          <w:szCs w:val="24"/>
        </w:rPr>
        <w:t xml:space="preserve">Sharpe, W. F. (1964). Capital asset prices: A theory of market equilibrium under conditions of risk. </w:t>
      </w:r>
      <w:r w:rsidRPr="005C658A">
        <w:rPr>
          <w:rFonts w:cstheme="minorHAnsi"/>
          <w:i/>
          <w:iCs/>
          <w:sz w:val="24"/>
          <w:szCs w:val="24"/>
        </w:rPr>
        <w:t>The journal of finance</w:t>
      </w:r>
      <w:r w:rsidRPr="005C658A">
        <w:rPr>
          <w:rFonts w:cstheme="minorHAnsi"/>
          <w:sz w:val="24"/>
          <w:szCs w:val="24"/>
        </w:rPr>
        <w:t xml:space="preserve">, </w:t>
      </w:r>
      <w:r w:rsidRPr="005C658A">
        <w:rPr>
          <w:rFonts w:cstheme="minorHAnsi"/>
          <w:i/>
          <w:iCs/>
          <w:sz w:val="24"/>
          <w:szCs w:val="24"/>
        </w:rPr>
        <w:t>19</w:t>
      </w:r>
      <w:r w:rsidRPr="005C658A">
        <w:rPr>
          <w:rFonts w:cstheme="minorHAnsi"/>
          <w:sz w:val="24"/>
          <w:szCs w:val="24"/>
        </w:rPr>
        <w:t xml:space="preserve">(3), 425–442. </w:t>
      </w:r>
    </w:p>
    <w:p w:rsidR="00955C42" w:rsidRPr="005C658A" w:rsidRDefault="00955C42" w:rsidP="00955C42">
      <w:pPr>
        <w:spacing w:line="240" w:lineRule="auto"/>
        <w:ind w:left="360" w:hanging="360"/>
        <w:contextualSpacing/>
        <w:rPr>
          <w:rFonts w:cstheme="minorHAnsi"/>
          <w:sz w:val="24"/>
          <w:szCs w:val="24"/>
        </w:rPr>
      </w:pPr>
      <w:proofErr w:type="spellStart"/>
      <w:proofErr w:type="gramStart"/>
      <w:r w:rsidRPr="005C658A">
        <w:rPr>
          <w:rFonts w:cstheme="minorHAnsi"/>
          <w:sz w:val="24"/>
          <w:szCs w:val="24"/>
        </w:rPr>
        <w:t>Sironi</w:t>
      </w:r>
      <w:proofErr w:type="spellEnd"/>
      <w:r w:rsidRPr="005C658A">
        <w:rPr>
          <w:rFonts w:cstheme="minorHAnsi"/>
          <w:sz w:val="24"/>
          <w:szCs w:val="24"/>
        </w:rPr>
        <w:t xml:space="preserve">, A., &amp; </w:t>
      </w:r>
      <w:proofErr w:type="spellStart"/>
      <w:r w:rsidRPr="005C658A">
        <w:rPr>
          <w:rFonts w:cstheme="minorHAnsi"/>
          <w:sz w:val="24"/>
          <w:szCs w:val="24"/>
        </w:rPr>
        <w:t>Resti</w:t>
      </w:r>
      <w:proofErr w:type="spellEnd"/>
      <w:r w:rsidRPr="005C658A">
        <w:rPr>
          <w:rFonts w:cstheme="minorHAnsi"/>
          <w:sz w:val="24"/>
          <w:szCs w:val="24"/>
        </w:rPr>
        <w:t>, A. (2007).</w:t>
      </w:r>
      <w:proofErr w:type="gramEnd"/>
      <w:r w:rsidRPr="005C658A">
        <w:rPr>
          <w:rFonts w:cstheme="minorHAnsi"/>
          <w:sz w:val="24"/>
          <w:szCs w:val="24"/>
        </w:rPr>
        <w:t xml:space="preserve"> </w:t>
      </w:r>
      <w:r w:rsidRPr="005C658A">
        <w:rPr>
          <w:rFonts w:cstheme="minorHAnsi"/>
          <w:i/>
          <w:iCs/>
          <w:sz w:val="24"/>
          <w:szCs w:val="24"/>
        </w:rPr>
        <w:t xml:space="preserve">Risk management and shareholders' value in banking: From risk measurement models to capital allocation policies </w:t>
      </w:r>
      <w:r w:rsidRPr="005C658A">
        <w:rPr>
          <w:rFonts w:cstheme="minorHAnsi"/>
          <w:sz w:val="24"/>
          <w:szCs w:val="24"/>
        </w:rPr>
        <w:t xml:space="preserve">(Vol. 417). </w:t>
      </w:r>
      <w:proofErr w:type="gramStart"/>
      <w:r w:rsidRPr="005C658A">
        <w:rPr>
          <w:rFonts w:cstheme="minorHAnsi"/>
          <w:sz w:val="24"/>
          <w:szCs w:val="24"/>
        </w:rPr>
        <w:t>John Wiley &amp; Sons.</w:t>
      </w:r>
      <w:proofErr w:type="gramEnd"/>
    </w:p>
    <w:p w:rsidR="00955C42" w:rsidRPr="005C658A" w:rsidRDefault="00955C42" w:rsidP="00955C42">
      <w:pPr>
        <w:spacing w:line="240" w:lineRule="auto"/>
        <w:ind w:left="360" w:hanging="360"/>
        <w:contextualSpacing/>
        <w:rPr>
          <w:rFonts w:cstheme="minorHAnsi"/>
          <w:sz w:val="24"/>
          <w:szCs w:val="24"/>
        </w:rPr>
      </w:pPr>
      <w:proofErr w:type="gramStart"/>
      <w:r w:rsidRPr="005C658A">
        <w:rPr>
          <w:rFonts w:cstheme="minorHAnsi"/>
          <w:sz w:val="24"/>
          <w:szCs w:val="24"/>
        </w:rPr>
        <w:t xml:space="preserve">Smithson, C., &amp; </w:t>
      </w:r>
      <w:proofErr w:type="spellStart"/>
      <w:r w:rsidRPr="005C658A">
        <w:rPr>
          <w:rFonts w:cstheme="minorHAnsi"/>
          <w:sz w:val="24"/>
          <w:szCs w:val="24"/>
        </w:rPr>
        <w:t>Simkins</w:t>
      </w:r>
      <w:proofErr w:type="spellEnd"/>
      <w:r w:rsidRPr="005C658A">
        <w:rPr>
          <w:rFonts w:cstheme="minorHAnsi"/>
          <w:sz w:val="24"/>
          <w:szCs w:val="24"/>
        </w:rPr>
        <w:t>, B. J. (2005).</w:t>
      </w:r>
      <w:proofErr w:type="gramEnd"/>
      <w:r w:rsidRPr="005C658A">
        <w:rPr>
          <w:rFonts w:cstheme="minorHAnsi"/>
          <w:sz w:val="24"/>
          <w:szCs w:val="24"/>
        </w:rPr>
        <w:t xml:space="preserve"> Does risk management add value? </w:t>
      </w:r>
      <w:proofErr w:type="gramStart"/>
      <w:r w:rsidRPr="005C658A">
        <w:rPr>
          <w:rFonts w:cstheme="minorHAnsi"/>
          <w:sz w:val="24"/>
          <w:szCs w:val="24"/>
        </w:rPr>
        <w:t>A survey of the evidence.</w:t>
      </w:r>
      <w:proofErr w:type="gramEnd"/>
      <w:r w:rsidRPr="005C658A">
        <w:rPr>
          <w:rFonts w:cstheme="minorHAnsi"/>
          <w:sz w:val="24"/>
          <w:szCs w:val="24"/>
        </w:rPr>
        <w:t xml:space="preserve"> </w:t>
      </w:r>
      <w:r w:rsidRPr="005C658A">
        <w:rPr>
          <w:rFonts w:cstheme="minorHAnsi"/>
          <w:i/>
          <w:iCs/>
          <w:sz w:val="24"/>
          <w:szCs w:val="24"/>
        </w:rPr>
        <w:t>Journal of Applied Corporate Finance</w:t>
      </w:r>
      <w:r w:rsidRPr="005C658A">
        <w:rPr>
          <w:rFonts w:cstheme="minorHAnsi"/>
          <w:sz w:val="24"/>
          <w:szCs w:val="24"/>
        </w:rPr>
        <w:t xml:space="preserve">, </w:t>
      </w:r>
      <w:r w:rsidRPr="005C658A">
        <w:rPr>
          <w:rFonts w:cstheme="minorHAnsi"/>
          <w:i/>
          <w:iCs/>
          <w:sz w:val="24"/>
          <w:szCs w:val="24"/>
        </w:rPr>
        <w:t>17</w:t>
      </w:r>
      <w:r w:rsidRPr="005C658A">
        <w:rPr>
          <w:rFonts w:cstheme="minorHAnsi"/>
          <w:sz w:val="24"/>
          <w:szCs w:val="24"/>
        </w:rPr>
        <w:t xml:space="preserve">(3), 8–17. </w:t>
      </w:r>
    </w:p>
    <w:p w:rsidR="00955C42" w:rsidRPr="007B57A7"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Stiroh</w:t>
      </w:r>
      <w:proofErr w:type="spellEnd"/>
      <w:r w:rsidRPr="005C658A">
        <w:rPr>
          <w:rFonts w:cstheme="minorHAnsi"/>
          <w:sz w:val="24"/>
          <w:szCs w:val="24"/>
        </w:rPr>
        <w:t xml:space="preserve">, K. J. (2004). Diversification in banking: Is noninterest income the </w:t>
      </w:r>
      <w:sdt>
        <w:sdtPr>
          <w:rPr>
            <w:rFonts w:cstheme="minorHAnsi"/>
            <w:sz w:val="24"/>
            <w:szCs w:val="24"/>
          </w:rPr>
          <w:id w:val="22594302"/>
          <w:citation/>
        </w:sdtPr>
        <w:sdtContent>
          <w:r w:rsidRPr="005C658A">
            <w:rPr>
              <w:rFonts w:cstheme="minorHAnsi"/>
              <w:sz w:val="24"/>
              <w:szCs w:val="24"/>
            </w:rPr>
            <w:fldChar w:fldCharType="begin"/>
          </w:r>
          <w:r w:rsidRPr="005C658A">
            <w:rPr>
              <w:rFonts w:cstheme="minorHAnsi"/>
              <w:sz w:val="24"/>
              <w:szCs w:val="24"/>
            </w:rPr>
            <w:instrText xml:space="preserve"> CITATION Wij15 \l 1033 </w:instrText>
          </w:r>
          <w:r w:rsidRPr="005C658A">
            <w:rPr>
              <w:rFonts w:cstheme="minorHAnsi"/>
              <w:sz w:val="24"/>
              <w:szCs w:val="24"/>
            </w:rPr>
            <w:fldChar w:fldCharType="separate"/>
          </w:r>
          <w:r w:rsidRPr="005C658A">
            <w:rPr>
              <w:rFonts w:cstheme="minorHAnsi"/>
              <w:noProof/>
              <w:sz w:val="24"/>
              <w:szCs w:val="24"/>
            </w:rPr>
            <w:t>(Wijethilaka, 2015)</w:t>
          </w:r>
          <w:r w:rsidRPr="005C658A">
            <w:rPr>
              <w:rFonts w:cstheme="minorHAnsi"/>
              <w:sz w:val="24"/>
              <w:szCs w:val="24"/>
            </w:rPr>
            <w:fldChar w:fldCharType="end"/>
          </w:r>
        </w:sdtContent>
      </w:sdt>
      <w:r w:rsidRPr="005C658A">
        <w:rPr>
          <w:rFonts w:cstheme="minorHAnsi"/>
          <w:sz w:val="24"/>
          <w:szCs w:val="24"/>
        </w:rPr>
        <w:t>answer</w:t>
      </w:r>
      <w:proofErr w:type="gramStart"/>
      <w:r w:rsidRPr="005C658A">
        <w:rPr>
          <w:rFonts w:cstheme="minorHAnsi"/>
          <w:sz w:val="24"/>
          <w:szCs w:val="24"/>
        </w:rPr>
        <w:t>?.</w:t>
      </w:r>
      <w:proofErr w:type="gramEnd"/>
      <w:r w:rsidRPr="005C658A">
        <w:rPr>
          <w:rFonts w:cstheme="minorHAnsi"/>
          <w:sz w:val="24"/>
          <w:szCs w:val="24"/>
        </w:rPr>
        <w:t xml:space="preserve"> </w:t>
      </w:r>
      <w:r w:rsidRPr="005C658A">
        <w:rPr>
          <w:rFonts w:cstheme="minorHAnsi"/>
          <w:i/>
          <w:iCs/>
          <w:sz w:val="24"/>
          <w:szCs w:val="24"/>
        </w:rPr>
        <w:t>Journal of Money, Credit, and Banking</w:t>
      </w:r>
      <w:r w:rsidRPr="005C658A">
        <w:rPr>
          <w:rFonts w:cstheme="minorHAnsi"/>
          <w:sz w:val="24"/>
          <w:szCs w:val="24"/>
        </w:rPr>
        <w:t xml:space="preserve">, </w:t>
      </w:r>
      <w:r w:rsidRPr="005C658A">
        <w:rPr>
          <w:rFonts w:cstheme="minorHAnsi"/>
          <w:i/>
          <w:iCs/>
          <w:sz w:val="24"/>
          <w:szCs w:val="24"/>
        </w:rPr>
        <w:t>36</w:t>
      </w:r>
      <w:r w:rsidRPr="005C658A">
        <w:rPr>
          <w:rFonts w:cstheme="minorHAnsi"/>
          <w:sz w:val="24"/>
          <w:szCs w:val="24"/>
        </w:rPr>
        <w:t xml:space="preserve">(5), 853–882. </w:t>
      </w:r>
    </w:p>
    <w:p w:rsidR="00955C42" w:rsidRPr="005C658A" w:rsidRDefault="00955C42" w:rsidP="00955C42">
      <w:pPr>
        <w:spacing w:line="240" w:lineRule="auto"/>
        <w:ind w:left="360" w:hanging="360"/>
        <w:contextualSpacing/>
        <w:rPr>
          <w:rFonts w:cstheme="minorHAnsi"/>
          <w:sz w:val="24"/>
          <w:szCs w:val="24"/>
          <w:shd w:val="clear" w:color="auto" w:fill="FFFFFF"/>
        </w:rPr>
      </w:pPr>
      <w:proofErr w:type="spellStart"/>
      <w:proofErr w:type="gramStart"/>
      <w:r w:rsidRPr="005C658A">
        <w:rPr>
          <w:rFonts w:cstheme="minorHAnsi"/>
          <w:sz w:val="24"/>
          <w:szCs w:val="24"/>
          <w:shd w:val="clear" w:color="auto" w:fill="FFFFFF"/>
        </w:rPr>
        <w:t>Sufian</w:t>
      </w:r>
      <w:proofErr w:type="spellEnd"/>
      <w:r w:rsidRPr="005C658A">
        <w:rPr>
          <w:rFonts w:cstheme="minorHAnsi"/>
          <w:sz w:val="24"/>
          <w:szCs w:val="24"/>
          <w:shd w:val="clear" w:color="auto" w:fill="FFFFFF"/>
        </w:rPr>
        <w:t xml:space="preserve">, F., &amp; Shah </w:t>
      </w:r>
      <w:proofErr w:type="spellStart"/>
      <w:r w:rsidRPr="005C658A">
        <w:rPr>
          <w:rFonts w:cstheme="minorHAnsi"/>
          <w:sz w:val="24"/>
          <w:szCs w:val="24"/>
          <w:shd w:val="clear" w:color="auto" w:fill="FFFFFF"/>
        </w:rPr>
        <w:t>Habibullah</w:t>
      </w:r>
      <w:proofErr w:type="spellEnd"/>
      <w:r w:rsidRPr="005C658A">
        <w:rPr>
          <w:rFonts w:cstheme="minorHAnsi"/>
          <w:sz w:val="24"/>
          <w:szCs w:val="24"/>
          <w:shd w:val="clear" w:color="auto" w:fill="FFFFFF"/>
        </w:rPr>
        <w:t>, M. (2014).</w:t>
      </w:r>
      <w:proofErr w:type="gramEnd"/>
      <w:r w:rsidRPr="005C658A">
        <w:rPr>
          <w:rFonts w:cstheme="minorHAnsi"/>
          <w:sz w:val="24"/>
          <w:szCs w:val="24"/>
          <w:shd w:val="clear" w:color="auto" w:fill="FFFFFF"/>
        </w:rPr>
        <w:t xml:space="preserve"> Economic freedom and bank efficiency: Does ownership and origins matter</w:t>
      </w:r>
      <w:proofErr w:type="gramStart"/>
      <w:r w:rsidRPr="005C658A">
        <w:rPr>
          <w:rFonts w:cstheme="minorHAnsi"/>
          <w:sz w:val="24"/>
          <w:szCs w:val="24"/>
          <w:shd w:val="clear" w:color="auto" w:fill="FFFFFF"/>
        </w:rPr>
        <w:t>?.</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Journal of Financial Regulation and Compliance</w:t>
      </w:r>
      <w:r w:rsidRPr="005C658A">
        <w:rPr>
          <w:rFonts w:cstheme="minorHAnsi"/>
          <w:sz w:val="24"/>
          <w:szCs w:val="24"/>
          <w:shd w:val="clear" w:color="auto" w:fill="FFFFFF"/>
        </w:rPr>
        <w:t>, </w:t>
      </w:r>
      <w:r w:rsidRPr="005C658A">
        <w:rPr>
          <w:rFonts w:cstheme="minorHAnsi"/>
          <w:i/>
          <w:iCs/>
          <w:sz w:val="24"/>
          <w:szCs w:val="24"/>
          <w:shd w:val="clear" w:color="auto" w:fill="FFFFFF"/>
        </w:rPr>
        <w:t>22</w:t>
      </w:r>
      <w:r w:rsidRPr="005C658A">
        <w:rPr>
          <w:rFonts w:cstheme="minorHAnsi"/>
          <w:sz w:val="24"/>
          <w:szCs w:val="24"/>
          <w:shd w:val="clear" w:color="auto" w:fill="FFFFFF"/>
        </w:rPr>
        <w:t>(3), 174–207.</w:t>
      </w:r>
    </w:p>
    <w:p w:rsidR="00955C42" w:rsidRPr="005C658A" w:rsidRDefault="00955C42" w:rsidP="00955C42">
      <w:pPr>
        <w:spacing w:line="240" w:lineRule="auto"/>
        <w:ind w:left="360" w:hanging="360"/>
        <w:contextualSpacing/>
        <w:rPr>
          <w:rFonts w:cstheme="minorHAnsi"/>
          <w:sz w:val="24"/>
          <w:szCs w:val="24"/>
          <w:shd w:val="clear" w:color="auto" w:fill="FFFFFF"/>
        </w:rPr>
      </w:pPr>
      <w:r w:rsidRPr="005C658A">
        <w:rPr>
          <w:rFonts w:cstheme="minorHAnsi"/>
          <w:sz w:val="24"/>
          <w:szCs w:val="24"/>
          <w:shd w:val="clear" w:color="auto" w:fill="FFFFFF"/>
        </w:rPr>
        <w:t xml:space="preserve">Tan, Y., &amp; </w:t>
      </w:r>
      <w:proofErr w:type="spellStart"/>
      <w:r w:rsidRPr="005C658A">
        <w:rPr>
          <w:rFonts w:cstheme="minorHAnsi"/>
          <w:sz w:val="24"/>
          <w:szCs w:val="24"/>
          <w:shd w:val="clear" w:color="auto" w:fill="FFFFFF"/>
        </w:rPr>
        <w:t>Floros</w:t>
      </w:r>
      <w:proofErr w:type="spellEnd"/>
      <w:r w:rsidRPr="005C658A">
        <w:rPr>
          <w:rFonts w:cstheme="minorHAnsi"/>
          <w:sz w:val="24"/>
          <w:szCs w:val="24"/>
          <w:shd w:val="clear" w:color="auto" w:fill="FFFFFF"/>
        </w:rPr>
        <w:t xml:space="preserve">, C. (2012b). </w:t>
      </w:r>
      <w:proofErr w:type="gramStart"/>
      <w:r w:rsidRPr="005C658A">
        <w:rPr>
          <w:rFonts w:cstheme="minorHAnsi"/>
          <w:sz w:val="24"/>
          <w:szCs w:val="24"/>
          <w:shd w:val="clear" w:color="auto" w:fill="FFFFFF"/>
        </w:rPr>
        <w:t>Stock market volatility and bank performance in China.</w:t>
      </w:r>
      <w:proofErr w:type="gramEnd"/>
      <w:r w:rsidRPr="005C658A">
        <w:rPr>
          <w:rFonts w:cstheme="minorHAnsi"/>
          <w:sz w:val="24"/>
          <w:szCs w:val="24"/>
          <w:shd w:val="clear" w:color="auto" w:fill="FFFFFF"/>
        </w:rPr>
        <w:t> </w:t>
      </w:r>
      <w:r w:rsidRPr="005C658A">
        <w:rPr>
          <w:rFonts w:cstheme="minorHAnsi"/>
          <w:i/>
          <w:iCs/>
          <w:sz w:val="24"/>
          <w:szCs w:val="24"/>
          <w:shd w:val="clear" w:color="auto" w:fill="FFFFFF"/>
        </w:rPr>
        <w:t>Studies in Economics and Finance</w:t>
      </w:r>
      <w:r w:rsidRPr="005C658A">
        <w:rPr>
          <w:rFonts w:cstheme="minorHAnsi"/>
          <w:sz w:val="24"/>
          <w:szCs w:val="24"/>
          <w:shd w:val="clear" w:color="auto" w:fill="FFFFFF"/>
        </w:rPr>
        <w:t>, </w:t>
      </w:r>
      <w:r w:rsidRPr="005C658A">
        <w:rPr>
          <w:rFonts w:cstheme="minorHAnsi"/>
          <w:i/>
          <w:iCs/>
          <w:sz w:val="24"/>
          <w:szCs w:val="24"/>
          <w:shd w:val="clear" w:color="auto" w:fill="FFFFFF"/>
        </w:rPr>
        <w:t>29</w:t>
      </w:r>
      <w:r w:rsidRPr="005C658A">
        <w:rPr>
          <w:rFonts w:cstheme="minorHAnsi"/>
          <w:sz w:val="24"/>
          <w:szCs w:val="24"/>
          <w:shd w:val="clear" w:color="auto" w:fill="FFFFFF"/>
        </w:rPr>
        <w:t>(3), 211–228.</w:t>
      </w:r>
    </w:p>
    <w:p w:rsidR="00955C42" w:rsidRPr="007B57A7" w:rsidRDefault="00955C42" w:rsidP="00955C42">
      <w:pPr>
        <w:spacing w:line="240" w:lineRule="auto"/>
        <w:ind w:left="360" w:hanging="360"/>
        <w:contextualSpacing/>
        <w:rPr>
          <w:rFonts w:cstheme="minorHAnsi"/>
          <w:sz w:val="24"/>
          <w:szCs w:val="24"/>
          <w:shd w:val="clear" w:color="auto" w:fill="FFFFFF"/>
        </w:rPr>
      </w:pPr>
      <w:r w:rsidRPr="005C658A">
        <w:rPr>
          <w:rFonts w:cstheme="minorHAnsi"/>
          <w:sz w:val="24"/>
          <w:szCs w:val="24"/>
          <w:shd w:val="clear" w:color="auto" w:fill="FFFFFF"/>
        </w:rPr>
        <w:t>Tan, Y., &amp;</w:t>
      </w:r>
      <w:proofErr w:type="spellStart"/>
      <w:r w:rsidRPr="005C658A">
        <w:rPr>
          <w:rFonts w:cstheme="minorHAnsi"/>
          <w:sz w:val="24"/>
          <w:szCs w:val="24"/>
          <w:shd w:val="clear" w:color="auto" w:fill="FFFFFF"/>
        </w:rPr>
        <w:t>Floros</w:t>
      </w:r>
      <w:proofErr w:type="spellEnd"/>
      <w:r w:rsidRPr="005C658A">
        <w:rPr>
          <w:rFonts w:cstheme="minorHAnsi"/>
          <w:sz w:val="24"/>
          <w:szCs w:val="24"/>
          <w:shd w:val="clear" w:color="auto" w:fill="FFFFFF"/>
        </w:rPr>
        <w:t>, C. (2012a). Bank profitability and inflation: The case of China. </w:t>
      </w:r>
      <w:r w:rsidRPr="005C658A">
        <w:rPr>
          <w:rFonts w:cstheme="minorHAnsi"/>
          <w:i/>
          <w:iCs/>
          <w:sz w:val="24"/>
          <w:szCs w:val="24"/>
          <w:shd w:val="clear" w:color="auto" w:fill="FFFFFF"/>
        </w:rPr>
        <w:t>Journal of Economic Studies</w:t>
      </w:r>
      <w:r w:rsidRPr="005C658A">
        <w:rPr>
          <w:rFonts w:cstheme="minorHAnsi"/>
          <w:sz w:val="24"/>
          <w:szCs w:val="24"/>
          <w:shd w:val="clear" w:color="auto" w:fill="FFFFFF"/>
        </w:rPr>
        <w:t>, </w:t>
      </w:r>
      <w:r w:rsidRPr="005C658A">
        <w:rPr>
          <w:rFonts w:cstheme="minorHAnsi"/>
          <w:i/>
          <w:iCs/>
          <w:sz w:val="24"/>
          <w:szCs w:val="24"/>
          <w:shd w:val="clear" w:color="auto" w:fill="FFFFFF"/>
        </w:rPr>
        <w:t>39</w:t>
      </w:r>
      <w:r w:rsidRPr="005C658A">
        <w:rPr>
          <w:rFonts w:cstheme="minorHAnsi"/>
          <w:sz w:val="24"/>
          <w:szCs w:val="24"/>
          <w:shd w:val="clear" w:color="auto" w:fill="FFFFFF"/>
        </w:rPr>
        <w:t>(6), 675–696.</w:t>
      </w:r>
    </w:p>
    <w:p w:rsidR="00955C42" w:rsidRPr="005C658A" w:rsidRDefault="00955C42" w:rsidP="00955C42">
      <w:pPr>
        <w:spacing w:line="240" w:lineRule="auto"/>
        <w:ind w:left="360" w:hanging="360"/>
        <w:contextualSpacing/>
        <w:rPr>
          <w:rFonts w:cstheme="minorHAnsi"/>
          <w:sz w:val="24"/>
          <w:szCs w:val="24"/>
        </w:rPr>
      </w:pPr>
      <w:proofErr w:type="spellStart"/>
      <w:r w:rsidRPr="005C658A">
        <w:rPr>
          <w:rFonts w:cstheme="minorHAnsi"/>
          <w:sz w:val="24"/>
          <w:szCs w:val="24"/>
        </w:rPr>
        <w:t>Teimet</w:t>
      </w:r>
      <w:proofErr w:type="spellEnd"/>
      <w:r w:rsidRPr="005C658A">
        <w:rPr>
          <w:rFonts w:cstheme="minorHAnsi"/>
          <w:sz w:val="24"/>
          <w:szCs w:val="24"/>
        </w:rPr>
        <w:t xml:space="preserve">, P. R., </w:t>
      </w:r>
      <w:proofErr w:type="spellStart"/>
      <w:r w:rsidRPr="005C658A">
        <w:rPr>
          <w:rFonts w:cstheme="minorHAnsi"/>
          <w:sz w:val="24"/>
          <w:szCs w:val="24"/>
        </w:rPr>
        <w:t>Ochieng</w:t>
      </w:r>
      <w:proofErr w:type="spellEnd"/>
      <w:r w:rsidRPr="005C658A">
        <w:rPr>
          <w:rFonts w:cstheme="minorHAnsi"/>
          <w:sz w:val="24"/>
          <w:szCs w:val="24"/>
        </w:rPr>
        <w:t xml:space="preserve">, D. O., &amp; Away, S. (2011). </w:t>
      </w:r>
      <w:proofErr w:type="gramStart"/>
      <w:r w:rsidRPr="005C658A">
        <w:rPr>
          <w:rFonts w:cstheme="minorHAnsi"/>
          <w:sz w:val="24"/>
          <w:szCs w:val="24"/>
        </w:rPr>
        <w:t>Income source diversification and financial performance of commercial banks in Kenya.</w:t>
      </w:r>
      <w:proofErr w:type="gramEnd"/>
      <w:r w:rsidRPr="005C658A">
        <w:rPr>
          <w:rFonts w:cstheme="minorHAnsi"/>
          <w:sz w:val="24"/>
          <w:szCs w:val="24"/>
        </w:rPr>
        <w:t xml:space="preserve"> </w:t>
      </w:r>
      <w:r w:rsidRPr="005C658A">
        <w:rPr>
          <w:rFonts w:cstheme="minorHAnsi"/>
          <w:i/>
          <w:iCs/>
          <w:sz w:val="24"/>
          <w:szCs w:val="24"/>
        </w:rPr>
        <w:t>International Journal of Business and Public Management</w:t>
      </w:r>
      <w:r w:rsidRPr="005C658A">
        <w:rPr>
          <w:rFonts w:cstheme="minorHAnsi"/>
          <w:sz w:val="24"/>
          <w:szCs w:val="24"/>
        </w:rPr>
        <w:t xml:space="preserve">, </w:t>
      </w:r>
      <w:r w:rsidRPr="005C658A">
        <w:rPr>
          <w:rFonts w:cstheme="minorHAnsi"/>
          <w:i/>
          <w:iCs/>
          <w:sz w:val="24"/>
          <w:szCs w:val="24"/>
        </w:rPr>
        <w:t>1</w:t>
      </w:r>
      <w:r w:rsidRPr="005C658A">
        <w:rPr>
          <w:rFonts w:cstheme="minorHAnsi"/>
          <w:sz w:val="24"/>
          <w:szCs w:val="24"/>
        </w:rPr>
        <w:t xml:space="preserve">(1), 69–89. </w:t>
      </w:r>
    </w:p>
    <w:p w:rsidR="00955C42" w:rsidRPr="007B57A7" w:rsidRDefault="00955C42" w:rsidP="00955C42">
      <w:pPr>
        <w:pStyle w:val="Bibliography"/>
        <w:spacing w:line="240" w:lineRule="auto"/>
        <w:ind w:left="360" w:hanging="360"/>
        <w:contextualSpacing/>
        <w:jc w:val="both"/>
        <w:rPr>
          <w:noProof/>
          <w:sz w:val="24"/>
          <w:szCs w:val="24"/>
        </w:rPr>
      </w:pPr>
      <w:r w:rsidRPr="005C658A">
        <w:rPr>
          <w:noProof/>
          <w:sz w:val="24"/>
          <w:szCs w:val="24"/>
        </w:rPr>
        <w:t xml:space="preserve">Wijethilaka, E. T. (2015). Impact of Bank Income Diversification to Bank Performance:Evidence from Sri Lanka. </w:t>
      </w:r>
      <w:r w:rsidRPr="005C658A">
        <w:rPr>
          <w:i/>
          <w:iCs/>
          <w:noProof/>
          <w:sz w:val="24"/>
          <w:szCs w:val="24"/>
        </w:rPr>
        <w:t>4th Student's Research Symposium</w:t>
      </w:r>
      <w:r w:rsidRPr="005C658A">
        <w:rPr>
          <w:noProof/>
          <w:sz w:val="24"/>
          <w:szCs w:val="24"/>
        </w:rPr>
        <w:t xml:space="preserve"> (p. 48). Kelaniya: University of Kelaniya.</w:t>
      </w:r>
    </w:p>
    <w:p w:rsidR="00955C42" w:rsidRPr="005C658A" w:rsidRDefault="00955C42" w:rsidP="00955C42">
      <w:pPr>
        <w:spacing w:line="240" w:lineRule="auto"/>
        <w:ind w:left="360" w:hanging="360"/>
        <w:contextualSpacing/>
        <w:rPr>
          <w:rFonts w:cstheme="minorHAnsi"/>
          <w:sz w:val="24"/>
          <w:szCs w:val="24"/>
        </w:rPr>
      </w:pPr>
      <w:proofErr w:type="gramStart"/>
      <w:r w:rsidRPr="005C658A">
        <w:rPr>
          <w:rFonts w:cstheme="minorHAnsi"/>
          <w:sz w:val="24"/>
          <w:szCs w:val="24"/>
        </w:rPr>
        <w:t>Williams, B., &amp; Prather, L. (2010).</w:t>
      </w:r>
      <w:proofErr w:type="gramEnd"/>
      <w:r w:rsidRPr="005C658A">
        <w:rPr>
          <w:rFonts w:cstheme="minorHAnsi"/>
          <w:sz w:val="24"/>
          <w:szCs w:val="24"/>
        </w:rPr>
        <w:t xml:space="preserve"> Bank risk and return: The impact of bank non-interest income. </w:t>
      </w:r>
      <w:r w:rsidRPr="005C658A">
        <w:rPr>
          <w:rFonts w:cstheme="minorHAnsi"/>
          <w:i/>
          <w:iCs/>
          <w:sz w:val="24"/>
          <w:szCs w:val="24"/>
        </w:rPr>
        <w:t>International Journal of Managerial Finance</w:t>
      </w:r>
      <w:r w:rsidRPr="005C658A">
        <w:rPr>
          <w:rFonts w:cstheme="minorHAnsi"/>
          <w:sz w:val="24"/>
          <w:szCs w:val="24"/>
        </w:rPr>
        <w:t xml:space="preserve">, </w:t>
      </w:r>
      <w:r w:rsidRPr="005C658A">
        <w:rPr>
          <w:rFonts w:cstheme="minorHAnsi"/>
          <w:i/>
          <w:iCs/>
          <w:sz w:val="24"/>
          <w:szCs w:val="24"/>
        </w:rPr>
        <w:t>6</w:t>
      </w:r>
      <w:r w:rsidRPr="005C658A">
        <w:rPr>
          <w:rFonts w:cstheme="minorHAnsi"/>
          <w:sz w:val="24"/>
          <w:szCs w:val="24"/>
        </w:rPr>
        <w:t xml:space="preserve">(3), 220–244. </w:t>
      </w:r>
    </w:p>
    <w:p w:rsidR="00955C42" w:rsidRPr="005C658A" w:rsidRDefault="00955C42" w:rsidP="00955C42">
      <w:pPr>
        <w:spacing w:line="240" w:lineRule="auto"/>
        <w:ind w:left="360" w:hanging="360"/>
        <w:contextualSpacing/>
        <w:rPr>
          <w:rFonts w:cstheme="minorHAnsi"/>
          <w:sz w:val="24"/>
          <w:szCs w:val="24"/>
        </w:rPr>
      </w:pPr>
      <w:proofErr w:type="gramStart"/>
      <w:r w:rsidRPr="005C658A">
        <w:rPr>
          <w:rFonts w:cstheme="minorHAnsi"/>
          <w:sz w:val="24"/>
          <w:szCs w:val="24"/>
        </w:rPr>
        <w:t xml:space="preserve">Zhang, J., Jiang, C., </w:t>
      </w:r>
      <w:proofErr w:type="spellStart"/>
      <w:r w:rsidRPr="005C658A">
        <w:rPr>
          <w:rFonts w:cstheme="minorHAnsi"/>
          <w:sz w:val="24"/>
          <w:szCs w:val="24"/>
        </w:rPr>
        <w:t>Qu</w:t>
      </w:r>
      <w:proofErr w:type="spellEnd"/>
      <w:r w:rsidRPr="005C658A">
        <w:rPr>
          <w:rFonts w:cstheme="minorHAnsi"/>
          <w:sz w:val="24"/>
          <w:szCs w:val="24"/>
        </w:rPr>
        <w:t>, B., &amp; Wang, P. (2013).</w:t>
      </w:r>
      <w:proofErr w:type="gramEnd"/>
      <w:r w:rsidRPr="005C658A">
        <w:rPr>
          <w:rFonts w:cstheme="minorHAnsi"/>
          <w:sz w:val="24"/>
          <w:szCs w:val="24"/>
        </w:rPr>
        <w:t xml:space="preserve"> Market concentration, risk-taking, and bank performance: Evidence from emerging economies. </w:t>
      </w:r>
      <w:r w:rsidRPr="005C658A">
        <w:rPr>
          <w:rFonts w:cstheme="minorHAnsi"/>
          <w:i/>
          <w:iCs/>
          <w:sz w:val="24"/>
          <w:szCs w:val="24"/>
        </w:rPr>
        <w:t>International Review of Financial Analysis</w:t>
      </w:r>
      <w:r w:rsidRPr="005C658A">
        <w:rPr>
          <w:rFonts w:cstheme="minorHAnsi"/>
          <w:sz w:val="24"/>
          <w:szCs w:val="24"/>
        </w:rPr>
        <w:t xml:space="preserve">, </w:t>
      </w:r>
      <w:r w:rsidRPr="005C658A">
        <w:rPr>
          <w:rFonts w:cstheme="minorHAnsi"/>
          <w:i/>
          <w:iCs/>
          <w:sz w:val="24"/>
          <w:szCs w:val="24"/>
        </w:rPr>
        <w:t>30</w:t>
      </w:r>
      <w:r w:rsidRPr="005C658A">
        <w:rPr>
          <w:rFonts w:cstheme="minorHAnsi"/>
          <w:sz w:val="24"/>
          <w:szCs w:val="24"/>
        </w:rPr>
        <w:t>, 149–157.</w:t>
      </w:r>
    </w:p>
    <w:p w:rsidR="00955C42" w:rsidRPr="005C658A" w:rsidRDefault="00955C42" w:rsidP="00955C42">
      <w:pPr>
        <w:spacing w:line="240" w:lineRule="auto"/>
        <w:ind w:left="360" w:hanging="360"/>
        <w:contextualSpacing/>
        <w:rPr>
          <w:rFonts w:cstheme="minorHAnsi"/>
          <w:sz w:val="24"/>
          <w:szCs w:val="24"/>
        </w:rPr>
      </w:pPr>
    </w:p>
    <w:p w:rsidR="00955C42" w:rsidRPr="005C658A" w:rsidRDefault="00955C42" w:rsidP="00955C42">
      <w:pPr>
        <w:spacing w:line="240" w:lineRule="auto"/>
        <w:ind w:left="360" w:hanging="360"/>
        <w:contextualSpacing/>
        <w:rPr>
          <w:rFonts w:cstheme="minorHAnsi"/>
          <w:sz w:val="24"/>
          <w:szCs w:val="24"/>
        </w:rPr>
      </w:pPr>
    </w:p>
    <w:p w:rsidR="00955C42" w:rsidRPr="005C658A" w:rsidRDefault="00955C42" w:rsidP="00955C42">
      <w:pPr>
        <w:spacing w:line="240" w:lineRule="auto"/>
        <w:ind w:left="360" w:hanging="360"/>
        <w:contextualSpacing/>
        <w:rPr>
          <w:rFonts w:cstheme="minorHAnsi"/>
          <w:sz w:val="24"/>
          <w:szCs w:val="24"/>
        </w:rPr>
      </w:pPr>
    </w:p>
    <w:p w:rsidR="00955C42" w:rsidRPr="005C658A" w:rsidRDefault="00955C42" w:rsidP="00955C42">
      <w:pPr>
        <w:spacing w:line="240" w:lineRule="auto"/>
        <w:ind w:left="360" w:hanging="360"/>
        <w:contextualSpacing/>
        <w:rPr>
          <w:sz w:val="24"/>
          <w:szCs w:val="24"/>
        </w:rPr>
      </w:pPr>
    </w:p>
    <w:p w:rsidR="00955C42" w:rsidRPr="005C658A" w:rsidRDefault="00955C42" w:rsidP="00955C42">
      <w:pPr>
        <w:spacing w:line="240" w:lineRule="auto"/>
        <w:ind w:left="360" w:hanging="360"/>
        <w:contextualSpacing/>
        <w:rPr>
          <w:sz w:val="24"/>
          <w:szCs w:val="24"/>
        </w:rPr>
      </w:pPr>
    </w:p>
    <w:p w:rsidR="00955C42" w:rsidRPr="005C658A" w:rsidRDefault="00955C42" w:rsidP="00955C42">
      <w:pPr>
        <w:spacing w:line="240" w:lineRule="auto"/>
        <w:ind w:left="360" w:hanging="360"/>
        <w:contextualSpacing/>
        <w:rPr>
          <w:sz w:val="24"/>
          <w:szCs w:val="24"/>
        </w:rPr>
      </w:pPr>
    </w:p>
    <w:bookmarkEnd w:id="0"/>
    <w:p w:rsidR="00955C42" w:rsidRPr="00BB1103" w:rsidRDefault="00955C42" w:rsidP="00955C42">
      <w:pPr>
        <w:spacing w:after="0" w:line="240" w:lineRule="auto"/>
        <w:ind w:left="360" w:hanging="360"/>
        <w:rPr>
          <w:rFonts w:cstheme="minorHAnsi"/>
          <w:sz w:val="24"/>
          <w:szCs w:val="24"/>
        </w:rPr>
      </w:pPr>
    </w:p>
    <w:p w:rsidR="00955C42" w:rsidRPr="00955C42" w:rsidRDefault="00955C42" w:rsidP="00955C42"/>
    <w:sectPr w:rsidR="00955C42" w:rsidRPr="00955C42" w:rsidSect="00C75520">
      <w:headerReference w:type="default" r:id="rId8"/>
      <w:footerReference w:type="default" r:id="rId9"/>
      <w:pgSz w:w="11907" w:h="16839" w:code="9"/>
      <w:pgMar w:top="1440" w:right="1440" w:bottom="1440" w:left="1440"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A8" w:rsidRDefault="000462A8" w:rsidP="002B427B">
      <w:pPr>
        <w:spacing w:after="0" w:line="240" w:lineRule="auto"/>
      </w:pPr>
      <w:r>
        <w:separator/>
      </w:r>
    </w:p>
  </w:endnote>
  <w:endnote w:type="continuationSeparator" w:id="0">
    <w:p w:rsidR="000462A8" w:rsidRDefault="000462A8" w:rsidP="002B4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2B427B" w:rsidP="0057164B">
          <w:pPr>
            <w:pStyle w:val="Footer"/>
            <w:jc w:val="center"/>
            <w:rPr>
              <w:b/>
              <w:color w:val="FFFFFF"/>
              <w:sz w:val="20"/>
            </w:rPr>
          </w:pPr>
          <w:r w:rsidRPr="005764B9">
            <w:rPr>
              <w:sz w:val="20"/>
            </w:rPr>
            <w:fldChar w:fldCharType="begin"/>
          </w:r>
          <w:r w:rsidR="001F7527" w:rsidRPr="005764B9">
            <w:rPr>
              <w:sz w:val="20"/>
            </w:rPr>
            <w:instrText xml:space="preserve"> PAGE   \* MERGEFORMAT </w:instrText>
          </w:r>
          <w:r w:rsidRPr="005764B9">
            <w:rPr>
              <w:sz w:val="20"/>
            </w:rPr>
            <w:fldChar w:fldCharType="separate"/>
          </w:r>
          <w:r w:rsidR="00C75520" w:rsidRPr="00C75520">
            <w:rPr>
              <w:noProof/>
              <w:color w:val="FFFFFF"/>
              <w:sz w:val="20"/>
            </w:rPr>
            <w:t>74</w:t>
          </w:r>
          <w:r w:rsidRPr="005764B9">
            <w:rPr>
              <w:sz w:val="20"/>
            </w:rPr>
            <w:fldChar w:fldCharType="end"/>
          </w:r>
        </w:p>
      </w:tc>
      <w:tc>
        <w:tcPr>
          <w:tcW w:w="4500" w:type="pct"/>
          <w:tcBorders>
            <w:top w:val="single" w:sz="4" w:space="0" w:color="auto"/>
          </w:tcBorders>
        </w:tcPr>
        <w:p w:rsidR="00E8140D" w:rsidRPr="00D46B59" w:rsidRDefault="000462A8" w:rsidP="00D46B59">
          <w:pPr>
            <w:widowControl w:val="0"/>
            <w:spacing w:after="0"/>
            <w:jc w:val="center"/>
            <w:rPr>
              <w:rFonts w:eastAsia="Calibri"/>
              <w:b/>
              <w:bCs/>
              <w:sz w:val="26"/>
              <w:szCs w:val="26"/>
              <w:lang w:val="en-IN" w:bidi="en-US"/>
            </w:rPr>
          </w:pPr>
        </w:p>
      </w:tc>
    </w:tr>
  </w:tbl>
  <w:p w:rsidR="00E8140D" w:rsidRPr="00E35B9C" w:rsidRDefault="000462A8"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A8" w:rsidRDefault="000462A8" w:rsidP="002B427B">
      <w:pPr>
        <w:spacing w:after="0" w:line="240" w:lineRule="auto"/>
      </w:pPr>
      <w:r>
        <w:separator/>
      </w:r>
    </w:p>
  </w:footnote>
  <w:footnote w:type="continuationSeparator" w:id="0">
    <w:p w:rsidR="000462A8" w:rsidRDefault="000462A8" w:rsidP="002B4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F7527"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1F7527"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F7527" w:rsidP="005B6275">
                <w:pPr>
                  <w:rPr>
                    <w:rFonts w:cs="Calibri"/>
                    <w:b/>
                    <w:color w:val="000000" w:themeColor="text1"/>
                    <w:sz w:val="26"/>
                  </w:rPr>
                </w:pPr>
                <w:r w:rsidRPr="00105089">
                  <w:t>Impact Factor 4.308</w:t>
                </w:r>
              </w:p>
            </w:tc>
            <w:tc>
              <w:tcPr>
                <w:tcW w:w="2340" w:type="dxa"/>
              </w:tcPr>
              <w:p w:rsidR="00105089" w:rsidRDefault="002B427B" w:rsidP="005B6275">
                <w:pPr>
                  <w:rPr>
                    <w:rFonts w:cs="Calibri"/>
                    <w:b/>
                    <w:color w:val="000000" w:themeColor="text1"/>
                    <w:sz w:val="26"/>
                  </w:rPr>
                </w:pPr>
                <w:hyperlink r:id="rId1" w:history="1">
                  <w:r w:rsidR="001F7527" w:rsidRPr="00D77455">
                    <w:rPr>
                      <w:rStyle w:val="Hyperlink"/>
                      <w:rFonts w:cs="Calibri"/>
                      <w:b/>
                      <w:bCs/>
                      <w:szCs w:val="24"/>
                    </w:rPr>
                    <w:t>http://www</w:t>
                  </w:r>
                  <w:r w:rsidR="001F7527" w:rsidRPr="00D77455">
                    <w:rPr>
                      <w:rStyle w:val="Hyperlink"/>
                    </w:rPr>
                    <w:t>.</w:t>
                  </w:r>
                  <w:r w:rsidR="001F7527" w:rsidRPr="00D77455">
                    <w:rPr>
                      <w:rStyle w:val="Hyperlink"/>
                      <w:rFonts w:cs="Calibri"/>
                      <w:b/>
                      <w:bCs/>
                      <w:szCs w:val="24"/>
                    </w:rPr>
                    <w:t>ijbems.com</w:t>
                  </w:r>
                </w:hyperlink>
              </w:p>
            </w:tc>
            <w:tc>
              <w:tcPr>
                <w:tcW w:w="1800" w:type="dxa"/>
              </w:tcPr>
              <w:p w:rsidR="00105089" w:rsidRDefault="001F7527" w:rsidP="005B6275">
                <w:pPr>
                  <w:rPr>
                    <w:rFonts w:cs="Calibri"/>
                    <w:b/>
                    <w:color w:val="000000" w:themeColor="text1"/>
                    <w:sz w:val="26"/>
                  </w:rPr>
                </w:pPr>
                <w:r>
                  <w:rPr>
                    <w:b/>
                    <w:color w:val="0000FF"/>
                  </w:rPr>
                  <w:t>ISSN:2941-9638</w:t>
                </w:r>
              </w:p>
            </w:tc>
          </w:tr>
        </w:tbl>
        <w:p w:rsidR="00E8140D" w:rsidRPr="00F63511" w:rsidRDefault="000462A8"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1F7527" w:rsidP="00105089">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3</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E8140D" w:rsidRPr="00034FCB" w:rsidRDefault="001F7527" w:rsidP="00841766">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March</w:t>
          </w:r>
          <w:r w:rsidRPr="00034FCB">
            <w:rPr>
              <w:b/>
              <w:color w:val="FFFFFF" w:themeColor="background1"/>
              <w:sz w:val="24"/>
              <w:szCs w:val="24"/>
            </w:rPr>
            <w:t>)</w:t>
          </w:r>
        </w:p>
      </w:tc>
    </w:tr>
  </w:tbl>
  <w:p w:rsidR="00E8140D" w:rsidRPr="00C415BC" w:rsidRDefault="000462A8">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7543"/>
    <w:multiLevelType w:val="hybridMultilevel"/>
    <w:tmpl w:val="BAF00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94674"/>
    <w:multiLevelType w:val="hybridMultilevel"/>
    <w:tmpl w:val="8EEEBCF0"/>
    <w:lvl w:ilvl="0" w:tplc="C7907E18">
      <w:start w:val="1"/>
      <w:numFmt w:val="decimal"/>
      <w:lvlText w:val="%1)"/>
      <w:lvlJc w:val="left"/>
      <w:pPr>
        <w:ind w:left="720" w:hanging="360"/>
      </w:pPr>
      <w:rPr>
        <w:rFonts w:asciiTheme="minorHAnsi" w:eastAsiaTheme="minorHAnsi" w:hAnsiTheme="minorHAnsi" w:cstheme="minorBidi" w:hint="default"/>
        <w:color w:val="auto"/>
        <w:sz w:val="22"/>
      </w:rPr>
    </w:lvl>
    <w:lvl w:ilvl="1" w:tplc="EA1250F6" w:tentative="1">
      <w:start w:val="1"/>
      <w:numFmt w:val="lowerLetter"/>
      <w:lvlText w:val="%2."/>
      <w:lvlJc w:val="left"/>
      <w:pPr>
        <w:ind w:left="1440" w:hanging="360"/>
      </w:pPr>
    </w:lvl>
    <w:lvl w:ilvl="2" w:tplc="79C88850" w:tentative="1">
      <w:start w:val="1"/>
      <w:numFmt w:val="lowerRoman"/>
      <w:lvlText w:val="%3."/>
      <w:lvlJc w:val="right"/>
      <w:pPr>
        <w:ind w:left="2160" w:hanging="180"/>
      </w:pPr>
    </w:lvl>
    <w:lvl w:ilvl="3" w:tplc="EC0E886A" w:tentative="1">
      <w:start w:val="1"/>
      <w:numFmt w:val="decimal"/>
      <w:lvlText w:val="%4."/>
      <w:lvlJc w:val="left"/>
      <w:pPr>
        <w:ind w:left="2880" w:hanging="360"/>
      </w:pPr>
    </w:lvl>
    <w:lvl w:ilvl="4" w:tplc="D43E017C" w:tentative="1">
      <w:start w:val="1"/>
      <w:numFmt w:val="lowerLetter"/>
      <w:lvlText w:val="%5."/>
      <w:lvlJc w:val="left"/>
      <w:pPr>
        <w:ind w:left="3600" w:hanging="360"/>
      </w:pPr>
    </w:lvl>
    <w:lvl w:ilvl="5" w:tplc="2A02DED2" w:tentative="1">
      <w:start w:val="1"/>
      <w:numFmt w:val="lowerRoman"/>
      <w:lvlText w:val="%6."/>
      <w:lvlJc w:val="right"/>
      <w:pPr>
        <w:ind w:left="4320" w:hanging="180"/>
      </w:pPr>
    </w:lvl>
    <w:lvl w:ilvl="6" w:tplc="A06E19DA" w:tentative="1">
      <w:start w:val="1"/>
      <w:numFmt w:val="decimal"/>
      <w:lvlText w:val="%7."/>
      <w:lvlJc w:val="left"/>
      <w:pPr>
        <w:ind w:left="5040" w:hanging="360"/>
      </w:pPr>
    </w:lvl>
    <w:lvl w:ilvl="7" w:tplc="2BE09EFA" w:tentative="1">
      <w:start w:val="1"/>
      <w:numFmt w:val="lowerLetter"/>
      <w:lvlText w:val="%8."/>
      <w:lvlJc w:val="left"/>
      <w:pPr>
        <w:ind w:left="5760" w:hanging="360"/>
      </w:pPr>
    </w:lvl>
    <w:lvl w:ilvl="8" w:tplc="8CF8735E" w:tentative="1">
      <w:start w:val="1"/>
      <w:numFmt w:val="lowerRoman"/>
      <w:lvlText w:val="%9."/>
      <w:lvlJc w:val="right"/>
      <w:pPr>
        <w:ind w:left="6480" w:hanging="180"/>
      </w:pPr>
    </w:lvl>
  </w:abstractNum>
  <w:abstractNum w:abstractNumId="2">
    <w:nsid w:val="710F25DA"/>
    <w:multiLevelType w:val="hybridMultilevel"/>
    <w:tmpl w:val="985EBA9A"/>
    <w:lvl w:ilvl="0" w:tplc="928ECDCC">
      <w:start w:val="1"/>
      <w:numFmt w:val="bullet"/>
      <w:lvlText w:val=""/>
      <w:lvlJc w:val="left"/>
      <w:pPr>
        <w:ind w:left="720" w:hanging="360"/>
      </w:pPr>
      <w:rPr>
        <w:rFonts w:ascii="Symbol" w:hAnsi="Symbol" w:hint="default"/>
      </w:rPr>
    </w:lvl>
    <w:lvl w:ilvl="1" w:tplc="C0784B4E">
      <w:start w:val="1"/>
      <w:numFmt w:val="bullet"/>
      <w:lvlText w:val="o"/>
      <w:lvlJc w:val="left"/>
      <w:pPr>
        <w:ind w:left="1440" w:hanging="360"/>
      </w:pPr>
      <w:rPr>
        <w:rFonts w:ascii="Courier New" w:hAnsi="Courier New" w:cs="Courier New" w:hint="default"/>
      </w:rPr>
    </w:lvl>
    <w:lvl w:ilvl="2" w:tplc="70F27692">
      <w:start w:val="1"/>
      <w:numFmt w:val="bullet"/>
      <w:lvlText w:val=""/>
      <w:lvlJc w:val="left"/>
      <w:pPr>
        <w:ind w:left="2160" w:hanging="360"/>
      </w:pPr>
      <w:rPr>
        <w:rFonts w:ascii="Wingdings" w:hAnsi="Wingdings" w:hint="default"/>
      </w:rPr>
    </w:lvl>
    <w:lvl w:ilvl="3" w:tplc="43767B18">
      <w:start w:val="1"/>
      <w:numFmt w:val="bullet"/>
      <w:lvlText w:val=""/>
      <w:lvlJc w:val="left"/>
      <w:pPr>
        <w:ind w:left="2880" w:hanging="360"/>
      </w:pPr>
      <w:rPr>
        <w:rFonts w:ascii="Symbol" w:hAnsi="Symbol" w:hint="default"/>
      </w:rPr>
    </w:lvl>
    <w:lvl w:ilvl="4" w:tplc="B4A6CDD0">
      <w:start w:val="1"/>
      <w:numFmt w:val="bullet"/>
      <w:lvlText w:val="o"/>
      <w:lvlJc w:val="left"/>
      <w:pPr>
        <w:ind w:left="3600" w:hanging="360"/>
      </w:pPr>
      <w:rPr>
        <w:rFonts w:ascii="Courier New" w:hAnsi="Courier New" w:cs="Courier New" w:hint="default"/>
      </w:rPr>
    </w:lvl>
    <w:lvl w:ilvl="5" w:tplc="2D3E023A">
      <w:start w:val="1"/>
      <w:numFmt w:val="bullet"/>
      <w:lvlText w:val=""/>
      <w:lvlJc w:val="left"/>
      <w:pPr>
        <w:ind w:left="4320" w:hanging="360"/>
      </w:pPr>
      <w:rPr>
        <w:rFonts w:ascii="Wingdings" w:hAnsi="Wingdings" w:hint="default"/>
      </w:rPr>
    </w:lvl>
    <w:lvl w:ilvl="6" w:tplc="A5505F64">
      <w:start w:val="1"/>
      <w:numFmt w:val="bullet"/>
      <w:lvlText w:val=""/>
      <w:lvlJc w:val="left"/>
      <w:pPr>
        <w:ind w:left="5040" w:hanging="360"/>
      </w:pPr>
      <w:rPr>
        <w:rFonts w:ascii="Symbol" w:hAnsi="Symbol" w:hint="default"/>
      </w:rPr>
    </w:lvl>
    <w:lvl w:ilvl="7" w:tplc="D26C0E12">
      <w:start w:val="1"/>
      <w:numFmt w:val="bullet"/>
      <w:lvlText w:val="o"/>
      <w:lvlJc w:val="left"/>
      <w:pPr>
        <w:ind w:left="5760" w:hanging="360"/>
      </w:pPr>
      <w:rPr>
        <w:rFonts w:ascii="Courier New" w:hAnsi="Courier New" w:cs="Courier New" w:hint="default"/>
      </w:rPr>
    </w:lvl>
    <w:lvl w:ilvl="8" w:tplc="3D043EC8">
      <w:start w:val="1"/>
      <w:numFmt w:val="bullet"/>
      <w:lvlText w:val=""/>
      <w:lvlJc w:val="left"/>
      <w:pPr>
        <w:ind w:left="6480" w:hanging="360"/>
      </w:pPr>
      <w:rPr>
        <w:rFonts w:ascii="Wingdings" w:hAnsi="Wingdings" w:hint="default"/>
      </w:rPr>
    </w:lvl>
  </w:abstractNum>
  <w:abstractNum w:abstractNumId="3">
    <w:nsid w:val="7B3857AD"/>
    <w:multiLevelType w:val="hybridMultilevel"/>
    <w:tmpl w:val="86503E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45663"/>
    <w:rsid w:val="000462A8"/>
    <w:rsid w:val="001F7527"/>
    <w:rsid w:val="002B427B"/>
    <w:rsid w:val="00345663"/>
    <w:rsid w:val="005F787E"/>
    <w:rsid w:val="00955C42"/>
    <w:rsid w:val="00AB185B"/>
    <w:rsid w:val="00C7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8"/>
        <o:r id="V:Rule2" type="connector" idref="#Straight Arrow Connector 9"/>
        <o:r id="V:Rule3" type="connector" idref="#Straight Arrow Connector 10"/>
        <o:r id="V:Rule4" type="connector" idref="#Straight Arrow Connector 11"/>
        <o:r id="V:Rule5"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5663"/>
    <w:pPr>
      <w:jc w:val="both"/>
    </w:pPr>
    <w:rPr>
      <w:rFonts w:ascii="Calibri" w:eastAsia="Times New Roman" w:hAnsi="Calibri" w:cs="Times New Roman"/>
    </w:rPr>
  </w:style>
  <w:style w:type="paragraph" w:styleId="Heading1">
    <w:name w:val="heading 1"/>
    <w:basedOn w:val="Normal"/>
    <w:next w:val="Normal"/>
    <w:link w:val="Heading1Char"/>
    <w:uiPriority w:val="9"/>
    <w:qFormat/>
    <w:rsid w:val="00955C42"/>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5663"/>
    <w:rPr>
      <w:color w:val="0000FF"/>
      <w:u w:val="single"/>
    </w:rPr>
  </w:style>
  <w:style w:type="paragraph" w:styleId="ListParagraph">
    <w:name w:val="List Paragraph"/>
    <w:basedOn w:val="Normal"/>
    <w:uiPriority w:val="34"/>
    <w:qFormat/>
    <w:rsid w:val="00345663"/>
    <w:pPr>
      <w:ind w:left="720"/>
      <w:contextualSpacing/>
    </w:pPr>
  </w:style>
  <w:style w:type="paragraph" w:styleId="Header">
    <w:name w:val="header"/>
    <w:basedOn w:val="Normal"/>
    <w:link w:val="HeaderChar"/>
    <w:uiPriority w:val="99"/>
    <w:unhideWhenUsed/>
    <w:rsid w:val="0034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63"/>
    <w:rPr>
      <w:rFonts w:ascii="Calibri" w:eastAsia="Times New Roman" w:hAnsi="Calibri" w:cs="Times New Roman"/>
    </w:rPr>
  </w:style>
  <w:style w:type="paragraph" w:styleId="Footer">
    <w:name w:val="footer"/>
    <w:basedOn w:val="Normal"/>
    <w:link w:val="FooterChar"/>
    <w:uiPriority w:val="99"/>
    <w:unhideWhenUsed/>
    <w:rsid w:val="0034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63"/>
    <w:rPr>
      <w:rFonts w:ascii="Calibri" w:eastAsia="Times New Roman" w:hAnsi="Calibri" w:cs="Times New Roman"/>
    </w:rPr>
  </w:style>
  <w:style w:type="table" w:styleId="TableGrid">
    <w:name w:val="Table Grid"/>
    <w:basedOn w:val="TableNormal"/>
    <w:uiPriority w:val="59"/>
    <w:rsid w:val="0034566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456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345663"/>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345663"/>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955C42"/>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955C42"/>
    <w:rPr>
      <w:color w:val="808080"/>
    </w:rPr>
  </w:style>
  <w:style w:type="paragraph" w:styleId="BalloonText">
    <w:name w:val="Balloon Text"/>
    <w:basedOn w:val="Normal"/>
    <w:link w:val="BalloonTextChar"/>
    <w:uiPriority w:val="99"/>
    <w:semiHidden/>
    <w:unhideWhenUsed/>
    <w:rsid w:val="00955C42"/>
    <w:pPr>
      <w:spacing w:after="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5C42"/>
    <w:rPr>
      <w:rFonts w:ascii="Tahoma" w:hAnsi="Tahoma" w:cs="Tahoma"/>
      <w:sz w:val="16"/>
      <w:szCs w:val="16"/>
    </w:rPr>
  </w:style>
  <w:style w:type="table" w:styleId="LightShading">
    <w:name w:val="Light Shading"/>
    <w:basedOn w:val="TableNormal"/>
    <w:uiPriority w:val="60"/>
    <w:rsid w:val="00955C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955C42"/>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character" w:styleId="SubtleEmphasis">
    <w:name w:val="Subtle Emphasis"/>
    <w:basedOn w:val="DefaultParagraphFont"/>
    <w:uiPriority w:val="19"/>
    <w:qFormat/>
    <w:rsid w:val="00955C42"/>
    <w:rPr>
      <w:i/>
      <w:iCs/>
      <w:color w:val="404040" w:themeColor="text1" w:themeTint="BF"/>
    </w:rPr>
  </w:style>
  <w:style w:type="paragraph" w:styleId="FootnoteText">
    <w:name w:val="footnote text"/>
    <w:basedOn w:val="Normal"/>
    <w:link w:val="FootnoteTextChar"/>
    <w:uiPriority w:val="99"/>
    <w:semiHidden/>
    <w:unhideWhenUsed/>
    <w:rsid w:val="00955C42"/>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C42"/>
    <w:rPr>
      <w:sz w:val="20"/>
      <w:szCs w:val="20"/>
    </w:rPr>
  </w:style>
  <w:style w:type="character" w:styleId="FootnoteReference">
    <w:name w:val="footnote reference"/>
    <w:basedOn w:val="DefaultParagraphFont"/>
    <w:uiPriority w:val="99"/>
    <w:semiHidden/>
    <w:unhideWhenUsed/>
    <w:rsid w:val="00955C42"/>
    <w:rPr>
      <w:vertAlign w:val="superscript"/>
    </w:rPr>
  </w:style>
  <w:style w:type="character" w:styleId="CommentReference">
    <w:name w:val="annotation reference"/>
    <w:basedOn w:val="DefaultParagraphFont"/>
    <w:uiPriority w:val="99"/>
    <w:semiHidden/>
    <w:unhideWhenUsed/>
    <w:rsid w:val="00955C42"/>
    <w:rPr>
      <w:sz w:val="16"/>
      <w:szCs w:val="16"/>
    </w:rPr>
  </w:style>
  <w:style w:type="paragraph" w:styleId="CommentText">
    <w:name w:val="annotation text"/>
    <w:basedOn w:val="Normal"/>
    <w:link w:val="CommentTextChar"/>
    <w:uiPriority w:val="99"/>
    <w:semiHidden/>
    <w:unhideWhenUsed/>
    <w:rsid w:val="00955C42"/>
    <w:pPr>
      <w:spacing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55C42"/>
    <w:rPr>
      <w:sz w:val="20"/>
      <w:szCs w:val="20"/>
    </w:rPr>
  </w:style>
  <w:style w:type="paragraph" w:styleId="CommentSubject">
    <w:name w:val="annotation subject"/>
    <w:basedOn w:val="CommentText"/>
    <w:next w:val="CommentText"/>
    <w:link w:val="CommentSubjectChar"/>
    <w:uiPriority w:val="99"/>
    <w:semiHidden/>
    <w:unhideWhenUsed/>
    <w:rsid w:val="00955C42"/>
    <w:rPr>
      <w:b/>
      <w:bCs/>
    </w:rPr>
  </w:style>
  <w:style w:type="character" w:customStyle="1" w:styleId="CommentSubjectChar">
    <w:name w:val="Comment Subject Char"/>
    <w:basedOn w:val="CommentTextChar"/>
    <w:link w:val="CommentSubject"/>
    <w:uiPriority w:val="99"/>
    <w:semiHidden/>
    <w:rsid w:val="00955C42"/>
    <w:rPr>
      <w:b/>
      <w:bCs/>
    </w:rPr>
  </w:style>
  <w:style w:type="paragraph" w:styleId="Revision">
    <w:name w:val="Revision"/>
    <w:hidden/>
    <w:uiPriority w:val="99"/>
    <w:semiHidden/>
    <w:rsid w:val="00955C42"/>
    <w:pPr>
      <w:spacing w:after="0" w:line="240" w:lineRule="auto"/>
    </w:pPr>
  </w:style>
  <w:style w:type="paragraph" w:styleId="Bibliography">
    <w:name w:val="Bibliography"/>
    <w:basedOn w:val="Normal"/>
    <w:next w:val="Normal"/>
    <w:uiPriority w:val="37"/>
    <w:unhideWhenUsed/>
    <w:rsid w:val="00955C42"/>
    <w:pPr>
      <w:jc w:val="left"/>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Wij15</b:Tag>
    <b:SourceType>ConferenceProceedings</b:SourceType>
    <b:Guid>{4E73D092-2303-48BE-8CF5-C852667C8A58}</b:Guid>
    <b:Author>
      <b:Author>
        <b:NameList>
          <b:Person>
            <b:Last>Wijethilaka</b:Last>
            <b:First>E</b:First>
            <b:Middle>T.S</b:Middle>
          </b:Person>
        </b:NameList>
      </b:Author>
    </b:Author>
    <b:Title>Impact of Bank Income Diversification to Bank Performance:Evidence from Sri Lanka</b:Title>
    <b:Year>2015</b:Year>
    <b:Pages>48</b:Pages>
    <b:ConferenceName>4th Student's Research Symposium</b:ConferenceName>
    <b:City>Kelaniya</b:City>
    <b:Publisher>University of Kelaniya</b:Publisher>
    <b:RefOrder>1</b:RefOrder>
  </b:Source>
</b:Sources>
</file>

<file path=customXml/itemProps1.xml><?xml version="1.0" encoding="utf-8"?>
<ds:datastoreItem xmlns:ds="http://schemas.openxmlformats.org/officeDocument/2006/customXml" ds:itemID="{6E4313FF-0961-4F1C-9B6D-284974D1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10041</Words>
  <Characters>57234</Characters>
  <Application>Microsoft Office Word</Application>
  <DocSecurity>0</DocSecurity>
  <Lines>476</Lines>
  <Paragraphs>134</Paragraphs>
  <ScaleCrop>false</ScaleCrop>
  <Company/>
  <LinksUpToDate>false</LinksUpToDate>
  <CharactersWithSpaces>67141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4</cp:revision>
  <cp:lastPrinted>2020-03-17T14:39:00Z</cp:lastPrinted>
  <dcterms:created xsi:type="dcterms:W3CDTF">2020-03-17T14:34:00Z</dcterms:created>
  <dcterms:modified xsi:type="dcterms:W3CDTF">2020-03-17T14:39:00Z</dcterms:modified>
</cp:coreProperties>
</file>