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0EA7" w14:textId="77777777" w:rsidR="003814EC" w:rsidRPr="00A645AE" w:rsidRDefault="003814EC" w:rsidP="003814EC">
      <w:pPr>
        <w:spacing w:after="200" w:line="240" w:lineRule="auto"/>
        <w:jc w:val="center"/>
        <w:rPr>
          <w:rFonts w:ascii="Times New Roman" w:hAnsi="Times New Roman" w:cs="Times New Roman"/>
          <w:b/>
          <w:bCs/>
          <w:sz w:val="24"/>
          <w:szCs w:val="24"/>
        </w:rPr>
      </w:pPr>
    </w:p>
    <w:p w14:paraId="7A4CA6F5" w14:textId="77777777" w:rsidR="0033738D" w:rsidRPr="00FA32BF" w:rsidRDefault="0033738D" w:rsidP="0033738D">
      <w:pPr>
        <w:spacing w:after="200"/>
        <w:jc w:val="center"/>
        <w:rPr>
          <w:rFonts w:ascii="Times New Roman" w:hAnsi="Times New Roman" w:cs="Times New Roman"/>
          <w:b/>
          <w:bCs/>
          <w:sz w:val="24"/>
          <w:szCs w:val="24"/>
        </w:rPr>
      </w:pPr>
      <w:r w:rsidRPr="00FA32BF">
        <w:rPr>
          <w:rFonts w:ascii="Times New Roman" w:hAnsi="Times New Roman" w:cs="Times New Roman"/>
          <w:b/>
          <w:bCs/>
          <w:sz w:val="24"/>
          <w:szCs w:val="24"/>
        </w:rPr>
        <w:t>REGULATORY COMPLIANCE AND ACCESS TO FINANCE: IMPLICATIONS FOR BUSINESS GROWTH IN DEVELOPING ECONOMIES</w:t>
      </w:r>
    </w:p>
    <w:p w14:paraId="69AE10AB" w14:textId="77777777" w:rsidR="0033738D" w:rsidRPr="00FA32BF" w:rsidRDefault="0033738D" w:rsidP="0033738D">
      <w:pPr>
        <w:spacing w:after="200"/>
        <w:jc w:val="center"/>
        <w:rPr>
          <w:rFonts w:ascii="Times New Roman" w:hAnsi="Times New Roman" w:cs="Times New Roman"/>
          <w:b/>
          <w:bCs/>
          <w:sz w:val="24"/>
          <w:szCs w:val="24"/>
        </w:rPr>
      </w:pPr>
    </w:p>
    <w:p w14:paraId="55C26023" w14:textId="77777777" w:rsidR="0033738D" w:rsidRPr="00FA32BF" w:rsidRDefault="0033738D" w:rsidP="0033738D">
      <w:pPr>
        <w:spacing w:after="0" w:line="276" w:lineRule="auto"/>
        <w:jc w:val="center"/>
        <w:rPr>
          <w:rFonts w:ascii="Times New Roman" w:hAnsi="Times New Roman" w:cs="Times New Roman"/>
          <w:b/>
          <w:bCs/>
          <w:sz w:val="24"/>
          <w:szCs w:val="24"/>
        </w:rPr>
      </w:pPr>
      <w:r w:rsidRPr="00FA32BF">
        <w:rPr>
          <w:rFonts w:ascii="Times New Roman" w:hAnsi="Times New Roman" w:cs="Times New Roman"/>
          <w:b/>
          <w:bCs/>
          <w:sz w:val="24"/>
          <w:szCs w:val="24"/>
        </w:rPr>
        <w:t xml:space="preserve">AKANG, AKANINYENE UDO (MNIM) </w:t>
      </w:r>
    </w:p>
    <w:p w14:paraId="1CEF0DC3" w14:textId="77777777" w:rsidR="0033738D" w:rsidRPr="00FA32BF" w:rsidRDefault="0033738D" w:rsidP="0033738D">
      <w:pPr>
        <w:spacing w:after="0" w:line="276" w:lineRule="auto"/>
        <w:jc w:val="center"/>
        <w:rPr>
          <w:rFonts w:ascii="Times New Roman" w:hAnsi="Times New Roman" w:cs="Times New Roman"/>
          <w:b/>
          <w:bCs/>
          <w:sz w:val="24"/>
          <w:szCs w:val="24"/>
        </w:rPr>
      </w:pPr>
      <w:r w:rsidRPr="00FA32BF">
        <w:rPr>
          <w:rFonts w:ascii="Times New Roman" w:hAnsi="Times New Roman" w:cs="Times New Roman"/>
          <w:b/>
          <w:bCs/>
          <w:sz w:val="24"/>
          <w:szCs w:val="24"/>
        </w:rPr>
        <w:t xml:space="preserve">Department of Business Administration/Management. </w:t>
      </w:r>
    </w:p>
    <w:p w14:paraId="19EFACA9" w14:textId="77777777" w:rsidR="0033738D" w:rsidRPr="00FA32BF" w:rsidRDefault="0033738D" w:rsidP="0033738D">
      <w:pPr>
        <w:spacing w:after="0" w:line="276" w:lineRule="auto"/>
        <w:jc w:val="center"/>
        <w:rPr>
          <w:rFonts w:ascii="Times New Roman" w:hAnsi="Times New Roman" w:cs="Times New Roman"/>
          <w:b/>
          <w:bCs/>
          <w:sz w:val="24"/>
          <w:szCs w:val="24"/>
        </w:rPr>
      </w:pPr>
      <w:proofErr w:type="spellStart"/>
      <w:r w:rsidRPr="00FA32BF">
        <w:rPr>
          <w:rFonts w:ascii="Times New Roman" w:hAnsi="Times New Roman" w:cs="Times New Roman"/>
          <w:b/>
          <w:bCs/>
          <w:sz w:val="24"/>
          <w:szCs w:val="24"/>
        </w:rPr>
        <w:t>Akwa</w:t>
      </w:r>
      <w:proofErr w:type="spellEnd"/>
      <w:r w:rsidRPr="00FA32BF">
        <w:rPr>
          <w:rFonts w:ascii="Times New Roman" w:hAnsi="Times New Roman" w:cs="Times New Roman"/>
          <w:b/>
          <w:bCs/>
          <w:sz w:val="24"/>
          <w:szCs w:val="24"/>
        </w:rPr>
        <w:t xml:space="preserve"> Ibom State Polytechnic, Ikot </w:t>
      </w:r>
      <w:proofErr w:type="spellStart"/>
      <w:r w:rsidRPr="00FA32BF">
        <w:rPr>
          <w:rFonts w:ascii="Times New Roman" w:hAnsi="Times New Roman" w:cs="Times New Roman"/>
          <w:b/>
          <w:bCs/>
          <w:sz w:val="24"/>
          <w:szCs w:val="24"/>
        </w:rPr>
        <w:t>Osurua</w:t>
      </w:r>
      <w:proofErr w:type="spellEnd"/>
      <w:r w:rsidRPr="00FA32BF">
        <w:rPr>
          <w:rFonts w:ascii="Times New Roman" w:hAnsi="Times New Roman" w:cs="Times New Roman"/>
          <w:b/>
          <w:bCs/>
          <w:sz w:val="24"/>
          <w:szCs w:val="24"/>
        </w:rPr>
        <w:t xml:space="preserve">, Ikot </w:t>
      </w:r>
      <w:proofErr w:type="spellStart"/>
      <w:r w:rsidRPr="00FA32BF">
        <w:rPr>
          <w:rFonts w:ascii="Times New Roman" w:hAnsi="Times New Roman" w:cs="Times New Roman"/>
          <w:b/>
          <w:bCs/>
          <w:sz w:val="24"/>
          <w:szCs w:val="24"/>
        </w:rPr>
        <w:t>Ekpene</w:t>
      </w:r>
      <w:proofErr w:type="spellEnd"/>
      <w:r w:rsidRPr="00FA32BF">
        <w:rPr>
          <w:rFonts w:ascii="Times New Roman" w:hAnsi="Times New Roman" w:cs="Times New Roman"/>
          <w:b/>
          <w:bCs/>
          <w:sz w:val="24"/>
          <w:szCs w:val="24"/>
        </w:rPr>
        <w:t>.</w:t>
      </w:r>
    </w:p>
    <w:p w14:paraId="1ABF996D" w14:textId="77777777" w:rsidR="0033738D" w:rsidRPr="00FA32BF" w:rsidRDefault="0033738D" w:rsidP="0033738D">
      <w:pPr>
        <w:spacing w:after="200" w:line="276" w:lineRule="auto"/>
        <w:jc w:val="center"/>
        <w:rPr>
          <w:rStyle w:val="Hyperlink"/>
          <w:rFonts w:ascii="Times New Roman" w:hAnsi="Times New Roman" w:cs="Times New Roman"/>
          <w:b/>
          <w:bCs/>
          <w:sz w:val="24"/>
          <w:szCs w:val="24"/>
        </w:rPr>
      </w:pPr>
      <w:r w:rsidRPr="00FA32BF">
        <w:rPr>
          <w:rFonts w:ascii="Times New Roman" w:hAnsi="Times New Roman" w:cs="Times New Roman"/>
          <w:b/>
          <w:bCs/>
          <w:sz w:val="24"/>
          <w:szCs w:val="24"/>
        </w:rPr>
        <w:t xml:space="preserve">Email: </w:t>
      </w:r>
      <w:hyperlink r:id="rId7" w:history="1">
        <w:r w:rsidRPr="00FA32BF">
          <w:rPr>
            <w:rStyle w:val="Hyperlink"/>
            <w:rFonts w:ascii="Times New Roman" w:hAnsi="Times New Roman" w:cs="Times New Roman"/>
            <w:b/>
            <w:bCs/>
            <w:sz w:val="24"/>
            <w:szCs w:val="24"/>
          </w:rPr>
          <w:t>akangakaninyene2021@gmail.com</w:t>
        </w:r>
      </w:hyperlink>
    </w:p>
    <w:p w14:paraId="2CB04EFD" w14:textId="64404550" w:rsidR="0033738D" w:rsidRPr="00FA32BF" w:rsidRDefault="0033738D" w:rsidP="0033738D">
      <w:pPr>
        <w:spacing w:after="200"/>
        <w:rPr>
          <w:rFonts w:ascii="Times New Roman" w:hAnsi="Times New Roman" w:cs="Times New Roman"/>
          <w:b/>
          <w:bCs/>
          <w:sz w:val="24"/>
          <w:szCs w:val="24"/>
        </w:rPr>
      </w:pPr>
      <w:r w:rsidRPr="00FA32BF">
        <w:rPr>
          <w:rFonts w:ascii="Times New Roman" w:hAnsi="Times New Roman" w:cs="Times New Roman"/>
          <w:b/>
          <w:bCs/>
          <w:sz w:val="24"/>
          <w:szCs w:val="24"/>
        </w:rPr>
        <w:t xml:space="preserve">ABSTRACT </w:t>
      </w:r>
    </w:p>
    <w:p w14:paraId="02D319D4" w14:textId="77777777" w:rsidR="0033738D" w:rsidRPr="00FA32BF" w:rsidRDefault="0033738D" w:rsidP="0033738D">
      <w:pPr>
        <w:spacing w:after="200"/>
        <w:jc w:val="both"/>
        <w:rPr>
          <w:rFonts w:ascii="Times New Roman" w:hAnsi="Times New Roman" w:cs="Times New Roman"/>
          <w:i/>
          <w:iCs/>
          <w:sz w:val="24"/>
          <w:szCs w:val="24"/>
        </w:rPr>
      </w:pPr>
      <w:r w:rsidRPr="00FA32BF">
        <w:rPr>
          <w:rFonts w:ascii="Times New Roman" w:hAnsi="Times New Roman" w:cs="Times New Roman"/>
          <w:i/>
          <w:iCs/>
          <w:sz w:val="24"/>
          <w:szCs w:val="24"/>
        </w:rPr>
        <w:t>This paper examines how regulatory compliance requirements and access to suitable financing sources influence business growth potentials, particularly for small and medium enterprises in developing economies. Through a review of academic literature and real-world case studies, the key linkages between these factors are established. Strict or disproportionate regulations are shown to impose significant compliance costs that hinder investments and expansionary activity. Lack of access to credit also constrains working capital and innovation expenditures needed to drive competitive advantages. A range of regulatory and financial system reforms are recommended to remove unnecessary bottlenecks while still maintaining prudent oversight. Proposed strategies aim to streamline and digitize compliance, build capabilities, tailor support for micro enterprises, and broaden availability of credit. If implemented effectively, these recommendations can optimize developing countries' regulatory environments to maximize the productive contributions of small businesses.</w:t>
      </w:r>
    </w:p>
    <w:p w14:paraId="77928C4A" w14:textId="10AFF5B1" w:rsidR="0033738D" w:rsidRPr="009F1D9D" w:rsidRDefault="0033738D" w:rsidP="0033738D">
      <w:pPr>
        <w:pBdr>
          <w:bottom w:val="single" w:sz="12" w:space="1" w:color="auto"/>
        </w:pBdr>
        <w:spacing w:after="200"/>
        <w:ind w:left="2160" w:hanging="2160"/>
        <w:jc w:val="both"/>
        <w:rPr>
          <w:rFonts w:ascii="Times New Roman" w:hAnsi="Times New Roman" w:cs="Times New Roman"/>
          <w:b/>
          <w:bCs/>
          <w:sz w:val="24"/>
          <w:szCs w:val="24"/>
        </w:rPr>
      </w:pPr>
      <w:r w:rsidRPr="009F1D9D">
        <w:rPr>
          <w:rFonts w:ascii="Times New Roman" w:hAnsi="Times New Roman" w:cs="Times New Roman"/>
          <w:b/>
          <w:bCs/>
          <w:sz w:val="24"/>
          <w:szCs w:val="24"/>
        </w:rPr>
        <w:t xml:space="preserve">KEYWORDS: </w:t>
      </w:r>
      <w:r>
        <w:rPr>
          <w:rFonts w:ascii="Times New Roman" w:hAnsi="Times New Roman" w:cs="Times New Roman"/>
          <w:b/>
          <w:bCs/>
          <w:sz w:val="24"/>
          <w:szCs w:val="24"/>
        </w:rPr>
        <w:tab/>
      </w:r>
      <w:r w:rsidRPr="009F1D9D">
        <w:rPr>
          <w:rFonts w:ascii="Times New Roman" w:hAnsi="Times New Roman" w:cs="Times New Roman"/>
          <w:b/>
          <w:bCs/>
          <w:sz w:val="24"/>
          <w:szCs w:val="24"/>
        </w:rPr>
        <w:t>Regulatory compliance, Access to finance, Business growth, Developing economies, Financial regulation</w:t>
      </w:r>
    </w:p>
    <w:p w14:paraId="4C1CEE84" w14:textId="497142CB" w:rsidR="0033738D" w:rsidRPr="00FA32BF" w:rsidRDefault="0033738D" w:rsidP="0033738D">
      <w:pPr>
        <w:spacing w:after="200"/>
        <w:rPr>
          <w:rFonts w:ascii="Times New Roman" w:hAnsi="Times New Roman" w:cs="Times New Roman"/>
          <w:b/>
          <w:bCs/>
          <w:sz w:val="24"/>
          <w:szCs w:val="24"/>
        </w:rPr>
      </w:pPr>
      <w:r w:rsidRPr="00FA32BF">
        <w:rPr>
          <w:rFonts w:ascii="Times New Roman" w:hAnsi="Times New Roman" w:cs="Times New Roman"/>
          <w:b/>
          <w:bCs/>
          <w:sz w:val="24"/>
          <w:szCs w:val="24"/>
        </w:rPr>
        <w:t>Introduction</w:t>
      </w:r>
    </w:p>
    <w:p w14:paraId="0CF723A2"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Access to adequate financial resources and a conducive regulatory environment are crucial determinants of business growth and success especially in developing economies. According to </w:t>
      </w:r>
      <w:proofErr w:type="spellStart"/>
      <w:r w:rsidRPr="00FA32BF">
        <w:rPr>
          <w:rFonts w:ascii="Times New Roman" w:hAnsi="Times New Roman" w:cs="Times New Roman"/>
          <w:sz w:val="24"/>
          <w:szCs w:val="24"/>
        </w:rPr>
        <w:t>Ayyagari</w:t>
      </w:r>
      <w:proofErr w:type="spellEnd"/>
      <w:r w:rsidRPr="00FA32BF">
        <w:rPr>
          <w:rFonts w:ascii="Times New Roman" w:hAnsi="Times New Roman" w:cs="Times New Roman"/>
          <w:sz w:val="24"/>
          <w:szCs w:val="24"/>
        </w:rPr>
        <w:t xml:space="preserve"> et al. (2011), small and medium enterprises (SMEs) face considerable challenges in their efforts to access external financing such as bank loans, credit facilities, and equity investments required to fuel expansion plans and innovation activities. Complying with various government regulations also increases operational costs and administrative burden on businesses (Beck &amp; </w:t>
      </w:r>
      <w:proofErr w:type="spellStart"/>
      <w:r w:rsidRPr="00FA32BF">
        <w:rPr>
          <w:rFonts w:ascii="Times New Roman" w:hAnsi="Times New Roman" w:cs="Times New Roman"/>
          <w:sz w:val="24"/>
          <w:szCs w:val="24"/>
        </w:rPr>
        <w:t>Demirguc-Kunt</w:t>
      </w:r>
      <w:proofErr w:type="spellEnd"/>
      <w:r w:rsidRPr="00FA32BF">
        <w:rPr>
          <w:rFonts w:ascii="Times New Roman" w:hAnsi="Times New Roman" w:cs="Times New Roman"/>
          <w:sz w:val="24"/>
          <w:szCs w:val="24"/>
        </w:rPr>
        <w:t>, 2006). Therefore, regulatory compliance and its impact on obtaining financial resources have important implications for the growth prospects of firms in developing nations.  Regulations are crucial to maintain orderly business conduct and protect various stakeholders. However, an overload of cumbersome regulations without proper support for compliance can hamper business activity (</w:t>
      </w:r>
      <w:proofErr w:type="spellStart"/>
      <w:r w:rsidRPr="00FA32BF">
        <w:rPr>
          <w:rFonts w:ascii="Times New Roman" w:hAnsi="Times New Roman" w:cs="Times New Roman"/>
          <w:sz w:val="24"/>
          <w:szCs w:val="24"/>
        </w:rPr>
        <w:t>Klapper</w:t>
      </w:r>
      <w:proofErr w:type="spellEnd"/>
      <w:r w:rsidRPr="00FA32BF">
        <w:rPr>
          <w:rFonts w:ascii="Times New Roman" w:hAnsi="Times New Roman" w:cs="Times New Roman"/>
          <w:sz w:val="24"/>
          <w:szCs w:val="24"/>
        </w:rPr>
        <w:t xml:space="preserve"> et al., 2006). According to the World Bank Enterprise Surveys (2013), complex regulatory procedures are identified as a major constraint by firms in developing countries more often than firms in developed nations. At the same time, growth of businesses provides impetus to economic development through increased investment, employment generation, and tax revenues (</w:t>
      </w:r>
      <w:proofErr w:type="spellStart"/>
      <w:r w:rsidRPr="00FA32BF">
        <w:rPr>
          <w:rFonts w:ascii="Times New Roman" w:hAnsi="Times New Roman" w:cs="Times New Roman"/>
          <w:sz w:val="24"/>
          <w:szCs w:val="24"/>
        </w:rPr>
        <w:t>Ayyagari</w:t>
      </w:r>
      <w:proofErr w:type="spellEnd"/>
      <w:r w:rsidRPr="00FA32BF">
        <w:rPr>
          <w:rFonts w:ascii="Times New Roman" w:hAnsi="Times New Roman" w:cs="Times New Roman"/>
          <w:sz w:val="24"/>
          <w:szCs w:val="24"/>
        </w:rPr>
        <w:t xml:space="preserve"> et al., 2017). Thus, it is </w:t>
      </w:r>
      <w:r w:rsidRPr="00FA32BF">
        <w:rPr>
          <w:rFonts w:ascii="Times New Roman" w:hAnsi="Times New Roman" w:cs="Times New Roman"/>
          <w:sz w:val="24"/>
          <w:szCs w:val="24"/>
        </w:rPr>
        <w:lastRenderedPageBreak/>
        <w:t xml:space="preserve">important to examine the links between regulatory environment, access to capital, and enterprise growth especially in emerging market contexts.  </w:t>
      </w:r>
    </w:p>
    <w:p w14:paraId="001EC3FD"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The objective of this article is to analyze how regulatory compliance requirements influence the ability of businesses to obtain necessary financing facilities and what impact it has on their growth potential. In-depth review of existing literature and real-world case studies will be conducted to understand the key issues. The article also aims to provide policy recommendations to balance regulatory objectives with ease of doing business. While prior research has examined regulations, financing constraints, and firm growth as independent factors, the interplay between them warrants closer attention. Specifically, there is need to explore how regulatory compliance acts as an impediment in securing external finance for businesses operating in developing country contexts. Access to adequate and affordable financial resources is key to enabling working capital, investment in assets and technology, and scale-up of operations. However, small firms often struggle to overcome information asymmetry and lack of collateral that banks consider in lending decisions (Berger and </w:t>
      </w:r>
      <w:proofErr w:type="spellStart"/>
      <w:r w:rsidRPr="00FA32BF">
        <w:rPr>
          <w:rFonts w:ascii="Times New Roman" w:hAnsi="Times New Roman" w:cs="Times New Roman"/>
          <w:sz w:val="24"/>
          <w:szCs w:val="24"/>
        </w:rPr>
        <w:t>Udell</w:t>
      </w:r>
      <w:proofErr w:type="spellEnd"/>
      <w:r w:rsidRPr="00FA32BF">
        <w:rPr>
          <w:rFonts w:ascii="Times New Roman" w:hAnsi="Times New Roman" w:cs="Times New Roman"/>
          <w:sz w:val="24"/>
          <w:szCs w:val="24"/>
        </w:rPr>
        <w:t xml:space="preserve">, 2006). </w:t>
      </w:r>
    </w:p>
    <w:p w14:paraId="375174FC"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The purpose of this article is to bridge the gap in current understanding by empirically examining the link between a country's regulatory environment, enterprises' access to credit and investment financing, and implications for their growth trajectory over time. Scope of the analysis will include multiple developing economies representing different geographic regions and levels of economic development. Regulatory compliance burden will be assessed through both quantitative indicators such as number of procedures and time taken as well as qualitative factors such as complexity and subjectivity involved. Access to finance variables considered will comprise percentage of firms with bank loans/lines of credit, loan approval rate, and cost of credit. Enterprise-level panel data on employment, assets, and sales will be utilized to measure growth patterns.  Through a detailed case study approach, specific challenges faced by selected businesses in complying with regulations and their inability to meet financing needs inhibiting expansion will also be highlighted. The findings are expected to offer valuable insights into appropriate policy reforms and interventions required to balance regulatory objectives with ease of doing business and access to resources driving commercial activity and economic growth. </w:t>
      </w:r>
    </w:p>
    <w:p w14:paraId="4B01CA9A"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Regulatory compliance procedures and requirements have considerable influence on enterprises' ability to access external financing sources that fuel business growth. Financial institutions are more likely to perceive firms with incomplete or inconsistent compliance documentation as high-risk borrowers (Beck et al., 2008). Time and money spent by businesses on regulatory paperwork and inspections leaves fewer resources for preparing detailed loan proposals or satisfying stringent appraisal criteria set by banks (</w:t>
      </w:r>
      <w:proofErr w:type="spellStart"/>
      <w:r w:rsidRPr="00FA32BF">
        <w:rPr>
          <w:rFonts w:ascii="Times New Roman" w:hAnsi="Times New Roman" w:cs="Times New Roman"/>
          <w:sz w:val="24"/>
          <w:szCs w:val="24"/>
        </w:rPr>
        <w:t>Aterido</w:t>
      </w:r>
      <w:proofErr w:type="spellEnd"/>
      <w:r w:rsidRPr="00FA32BF">
        <w:rPr>
          <w:rFonts w:ascii="Times New Roman" w:hAnsi="Times New Roman" w:cs="Times New Roman"/>
          <w:sz w:val="24"/>
          <w:szCs w:val="24"/>
        </w:rPr>
        <w:t xml:space="preserve"> et al., 2011).  Excessively complex and frequent changes in regulations also add to information asymmetry plaguing small firms. Lenders are hesitant to lend to entities with unclear future compliance liabilities and unstable policy environments (Kira, 2013). Such firms encounter higher rejection rates, stricter collateral norms and shorter tenors to overcome risk perception (Fonseca et al., 2001). In developing countries where alternate financing avenues are limited, onerous regulations lock many potentially viable ventures out of the formal credit market. Even when </w:t>
      </w:r>
      <w:r w:rsidRPr="00FA32BF">
        <w:rPr>
          <w:rFonts w:ascii="Times New Roman" w:hAnsi="Times New Roman" w:cs="Times New Roman"/>
          <w:sz w:val="24"/>
          <w:szCs w:val="24"/>
        </w:rPr>
        <w:lastRenderedPageBreak/>
        <w:t>loans are approved, regulatory inefficiencies are factored into interest pricing. Higher compliance costs and uncertainties are estimated to increase costs of credit by 30-50 basis points on average (</w:t>
      </w:r>
      <w:proofErr w:type="spellStart"/>
      <w:r w:rsidRPr="00FA32BF">
        <w:rPr>
          <w:rFonts w:ascii="Times New Roman" w:hAnsi="Times New Roman" w:cs="Times New Roman"/>
          <w:sz w:val="24"/>
          <w:szCs w:val="24"/>
        </w:rPr>
        <w:t>Freixas</w:t>
      </w:r>
      <w:proofErr w:type="spellEnd"/>
      <w:r w:rsidRPr="00FA32BF">
        <w:rPr>
          <w:rFonts w:ascii="Times New Roman" w:hAnsi="Times New Roman" w:cs="Times New Roman"/>
          <w:sz w:val="24"/>
          <w:szCs w:val="24"/>
        </w:rPr>
        <w:t xml:space="preserve"> &amp; Rochet, 2008). SMEs therefore resort to expensive informal sources, stunting their growth capacity (Beck &amp; </w:t>
      </w:r>
      <w:proofErr w:type="spellStart"/>
      <w:r w:rsidRPr="00FA32BF">
        <w:rPr>
          <w:rFonts w:ascii="Times New Roman" w:hAnsi="Times New Roman" w:cs="Times New Roman"/>
          <w:sz w:val="24"/>
          <w:szCs w:val="24"/>
        </w:rPr>
        <w:t>Demirguc-Kunt</w:t>
      </w:r>
      <w:proofErr w:type="spellEnd"/>
      <w:r w:rsidRPr="00FA32BF">
        <w:rPr>
          <w:rFonts w:ascii="Times New Roman" w:hAnsi="Times New Roman" w:cs="Times New Roman"/>
          <w:sz w:val="24"/>
          <w:szCs w:val="24"/>
        </w:rPr>
        <w:t>, 2006). Simplified procedures facilitating immediate compliance could aid more than 30% of small firms in raising external capital (</w:t>
      </w:r>
      <w:proofErr w:type="spellStart"/>
      <w:r w:rsidRPr="00FA32BF">
        <w:rPr>
          <w:rFonts w:ascii="Times New Roman" w:hAnsi="Times New Roman" w:cs="Times New Roman"/>
          <w:sz w:val="24"/>
          <w:szCs w:val="24"/>
        </w:rPr>
        <w:t>Aterido</w:t>
      </w:r>
      <w:proofErr w:type="spellEnd"/>
      <w:r w:rsidRPr="00FA32BF">
        <w:rPr>
          <w:rFonts w:ascii="Times New Roman" w:hAnsi="Times New Roman" w:cs="Times New Roman"/>
          <w:sz w:val="24"/>
          <w:szCs w:val="24"/>
        </w:rPr>
        <w:t xml:space="preserve"> et al., 2011).</w:t>
      </w:r>
    </w:p>
    <w:p w14:paraId="1EC6631E"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This article aims to argue that the regulatory compliance environment has considerable influence over enterprises' access to external financial resources in developing countries. Complex, inefficient and frequently changing compliance procedures employed by governments impose substantive regulatory and information costs on businesses. This raises their perceived risk profile in the eyes of formal lenders and restricts their ability to obtain bank loans, credit lines and other capital needed for growth on viable commercial terms. Limited alternative sources of financing also constrain the growth opportunities for firms facing regulatory hurdles. However, streamlined and stable regulations can alleviate information asymmetries, encourage broader financing outreach and support long-term investment to boost enterprise scale and productivity over time. Therefore, the thesis examines how regulatory compliance impacts access to finance for businesses, and through this channel, influences their potential for expansion and economic contribution in developing economies.</w:t>
      </w:r>
    </w:p>
    <w:p w14:paraId="3BD54253" w14:textId="77777777" w:rsidR="0033738D" w:rsidRPr="00FA32BF" w:rsidRDefault="0033738D" w:rsidP="0033738D">
      <w:pPr>
        <w:spacing w:after="200"/>
        <w:jc w:val="both"/>
        <w:rPr>
          <w:rFonts w:ascii="Times New Roman" w:hAnsi="Times New Roman" w:cs="Times New Roman"/>
          <w:b/>
          <w:bCs/>
          <w:sz w:val="24"/>
          <w:szCs w:val="24"/>
        </w:rPr>
      </w:pPr>
      <w:r w:rsidRPr="00FA32BF">
        <w:rPr>
          <w:rFonts w:ascii="Times New Roman" w:hAnsi="Times New Roman" w:cs="Times New Roman"/>
          <w:b/>
          <w:bCs/>
          <w:sz w:val="24"/>
          <w:szCs w:val="24"/>
        </w:rPr>
        <w:t>Regulatory Environment in Developing Economies</w:t>
      </w:r>
    </w:p>
    <w:p w14:paraId="7F5E4E7A"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Developing countries typically implement regulations to achieve various objectives such as protecting consumers, maintaining fair competition, ensuring tax compliance, controlling environmental impact, and upholding corporate governance standards. However, the burden of regulations on businesses varies considerably depending on the policy priorities and administrative capacity of individual nations. Common business regulations across developing economies pertain to entry and operating licensing, product standards certification, financial reporting and taxation. However, the procedures to fulfill these can often involve a complex web of multiple agency approvals with long processing times (World Bank, 2018). Firms must navigate a maze of paperwork, routine inspections and information requests from poorly coordinated regulatory bodies. </w:t>
      </w:r>
    </w:p>
    <w:p w14:paraId="5FF5A6D7"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SMEs in particular struggle with disproportionate costs of regulatory adherence. They have limited in-house capacity to dedicate solely to ensuring ongoing compliance (OECD, 2009). Changes in policies further strain their ability to keep abreast and make long-term strategic plans. Licensing conditions can also impose restrictions on activity scope that stunt business model innovation crucial for growth. While regulations aim to promote transparency and fair play, lack of digitalization compounds their inefficiency. Manual, cash-based processes are vulnerable to delays, errors and rent-seeking (Asian Development Bank, 2013). Complex rules invite ambiguity and arbitrary implementation raising compliance uncertainty. Weak regulatory governance systems lack appeal mechanisms and due process to hold agencies accountable. The result is an overall climate that discourages formality and incentivizes rent-seeking behavior. It can also undermine competitiveness of domestic </w:t>
      </w:r>
      <w:proofErr w:type="gramStart"/>
      <w:r w:rsidRPr="00FA32BF">
        <w:rPr>
          <w:rFonts w:ascii="Times New Roman" w:hAnsi="Times New Roman" w:cs="Times New Roman"/>
          <w:sz w:val="24"/>
          <w:szCs w:val="24"/>
        </w:rPr>
        <w:t>firms</w:t>
      </w:r>
      <w:proofErr w:type="gramEnd"/>
      <w:r w:rsidRPr="00FA32BF">
        <w:rPr>
          <w:rFonts w:ascii="Times New Roman" w:hAnsi="Times New Roman" w:cs="Times New Roman"/>
          <w:sz w:val="24"/>
          <w:szCs w:val="24"/>
        </w:rPr>
        <w:t xml:space="preserve"> vis-a-vis foreign MNCs that exploit regulatory arbitrage (IFC, 2017).</w:t>
      </w:r>
    </w:p>
    <w:p w14:paraId="6E0E5E25" w14:textId="77777777" w:rsidR="0033738D" w:rsidRPr="00FA32BF" w:rsidRDefault="0033738D" w:rsidP="0033738D">
      <w:pPr>
        <w:spacing w:after="200"/>
        <w:jc w:val="both"/>
        <w:rPr>
          <w:rFonts w:ascii="Times New Roman" w:hAnsi="Times New Roman" w:cs="Times New Roman"/>
          <w:b/>
          <w:bCs/>
          <w:i/>
          <w:iCs/>
          <w:sz w:val="24"/>
          <w:szCs w:val="24"/>
        </w:rPr>
      </w:pPr>
      <w:r w:rsidRPr="00FA32BF">
        <w:rPr>
          <w:rFonts w:ascii="Times New Roman" w:hAnsi="Times New Roman" w:cs="Times New Roman"/>
          <w:b/>
          <w:bCs/>
          <w:i/>
          <w:iCs/>
          <w:sz w:val="24"/>
          <w:szCs w:val="24"/>
        </w:rPr>
        <w:lastRenderedPageBreak/>
        <w:t>Key Business Regulatory policies and their Objectives</w:t>
      </w:r>
    </w:p>
    <w:p w14:paraId="383E9BB1"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i/>
          <w:iCs/>
          <w:sz w:val="24"/>
          <w:szCs w:val="24"/>
        </w:rPr>
        <w:t>Business Registration and Licensing:</w:t>
      </w:r>
      <w:r w:rsidRPr="00FA32BF">
        <w:rPr>
          <w:rFonts w:ascii="Times New Roman" w:hAnsi="Times New Roman" w:cs="Times New Roman"/>
          <w:sz w:val="24"/>
          <w:szCs w:val="24"/>
        </w:rPr>
        <w:t xml:space="preserve">  One key regulatory policy of government is registration and licensing which is done to formalize businesses, instill basic oversight, and collect taxes and statistics. It governs such matters like minimum capital, ownership details, permitted activities etc. Business registration provides a legal identity to enterprises and allows them to enter into contracts, lease property, open bank accounts etc. It brings them within the formal sector ambit. The registration process typically involves submitting documents like company incorporation forms, memorandum of association, articles of association, partnership deed etc. detailing basic ownership and operational aspects. </w:t>
      </w:r>
    </w:p>
    <w:p w14:paraId="54E79EA8"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Governments also prescribe minimum capital requirements through registration to indicate an entity is bona fide and has resources to operate sustainably over the long-run. This requirement can pose difficulties for small startups. Licenses further govern the specific economic activities an enterprise is allowed to undertake. Restrictions based on sector, location, investment levels etc. are common. Maintaining updated records of ownership and company details is also mandated. This enables regulators to identify stakeholders and changes in control over time for supervision.</w:t>
      </w:r>
    </w:p>
    <w:p w14:paraId="54BE6633"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Registration provides the basis for governments to collect relevant statistics on economic indicators like number of firms, sectors, employment and calculate national accounts and income indicators. It brings businesses within the tax authority ambit so that applicable taxes on income, sales, property etc. can be deposited regularly along with filing of returns. Registration and licensing formalize firms while instilling basic controls over their formation and operations from the onset.</w:t>
      </w:r>
    </w:p>
    <w:p w14:paraId="2763A432"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i/>
          <w:iCs/>
          <w:sz w:val="24"/>
          <w:szCs w:val="24"/>
        </w:rPr>
        <w:t>Product and Service Standards:</w:t>
      </w:r>
      <w:r w:rsidRPr="00FA32BF">
        <w:rPr>
          <w:rFonts w:ascii="Times New Roman" w:hAnsi="Times New Roman" w:cs="Times New Roman"/>
          <w:sz w:val="24"/>
          <w:szCs w:val="24"/>
        </w:rPr>
        <w:t xml:space="preserve"> government through its agencies promulgate policies and guidelines that ensure quality, safety and integrity in manufacturing and trade. It involves compliance with technical, health and environmental standards. Technical standards specify characteristics like measurements, material composition, design, functioning etc. that products must conform to for domestic and export markets. Health standards mandate security checks and limits on toxic ingredients/contaminants in items like food, drugs, personal care products etc. to safeguard consumer wellness. Environmental standards govern emission and resource usage limits for manufacturing processes to curb pollution. It promotes sustainable production.</w:t>
      </w:r>
    </w:p>
    <w:p w14:paraId="349EDAB2"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Compliance ensures uniformity and quality at all levels and prevents unfit goods from reaching consumers which in turn boosts customer’s confidence and trade. Certification from accredited third-party agencies is often required as proof of adherence after audits and testing of samples from production batches. Periodic renewal of certifications compels businesses to consistently meet standards as non-compliance can result in fines, production suspension or recalls. Smaller firms find certification procedures and technical compliance mechanisms disproportionately expensive and difficult to navigate but adhering to product standards is very vital for business legitimacy and competitive positioning both domestically and internationally. Substandard goods undermine a country's exports while also threatening public health, safety and the environment.</w:t>
      </w:r>
    </w:p>
    <w:p w14:paraId="4D38B1E9"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i/>
          <w:iCs/>
          <w:sz w:val="24"/>
          <w:szCs w:val="24"/>
        </w:rPr>
        <w:lastRenderedPageBreak/>
        <w:t>Tax Compliance:</w:t>
      </w:r>
      <w:r w:rsidRPr="00FA32BF">
        <w:rPr>
          <w:rFonts w:ascii="Times New Roman" w:hAnsi="Times New Roman" w:cs="Times New Roman"/>
          <w:sz w:val="24"/>
          <w:szCs w:val="24"/>
        </w:rPr>
        <w:t xml:space="preserve"> To generate revenue for government expenditure, it relies on taxes paid by businesses through VAT, customs duties, property </w:t>
      </w:r>
      <w:proofErr w:type="spellStart"/>
      <w:r w:rsidRPr="00FA32BF">
        <w:rPr>
          <w:rFonts w:ascii="Times New Roman" w:hAnsi="Times New Roman" w:cs="Times New Roman"/>
          <w:sz w:val="24"/>
          <w:szCs w:val="24"/>
        </w:rPr>
        <w:t>etc</w:t>
      </w:r>
      <w:proofErr w:type="spellEnd"/>
      <w:r w:rsidRPr="00FA32BF">
        <w:rPr>
          <w:rFonts w:ascii="Times New Roman" w:hAnsi="Times New Roman" w:cs="Times New Roman"/>
          <w:sz w:val="24"/>
          <w:szCs w:val="24"/>
        </w:rPr>
        <w:t xml:space="preserve"> according to legal requirements.  Also, taxes are levied on business income, dividends, capital gains as well as payroll, property ownership, transactions, imports and exports. Compliance requires accurate bookkeeping, regular tax filings, payment of advance taxes, maintaining requisite permits and licenses it involves significant paperwork and diligence for businesses to fulfill their fiscal responsibility towards the nation.</w:t>
      </w:r>
    </w:p>
    <w:p w14:paraId="130E09EB"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On their part tax authorities conduct audits to ensure all income is accounted for and taxes paid on time every fiscal year and also employ the services of tax experts to complex calculation. As a result of frequent reviews in tax rates and rules, there is need for constant monitoring to remain current on payment obligations. Default or evasion can lead to heavy penalties, back tax notices, freezing of bank accounts, and in severe cases, even imprisonment. Overall tax burden, including compliance costs, influences firms' profitability and investment decisions and transparency in tax policies and administration helps reduce discretion and corruption scope. </w:t>
      </w:r>
    </w:p>
    <w:p w14:paraId="1C9F40C8"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i/>
          <w:iCs/>
          <w:sz w:val="24"/>
          <w:szCs w:val="24"/>
        </w:rPr>
        <w:t>Labor Regulations</w:t>
      </w:r>
      <w:r w:rsidRPr="00FA32BF">
        <w:rPr>
          <w:rFonts w:ascii="Times New Roman" w:hAnsi="Times New Roman" w:cs="Times New Roman"/>
          <w:sz w:val="24"/>
          <w:szCs w:val="24"/>
        </w:rPr>
        <w:t>: To protect worker’s welfare and rights, the government set guidelines ensure compliance to labor law as It pertains to minimum wages, working hours and conditions, employment contracts, social security contributions etc. Minimum wage laws aim to ensure livable pay but increase fixed business costs and impact hiring. Compliance involves proper maintenance of payroll records. Regulations around maximum working hours, overtime pay, breaks, leave entitlements impact staff scheduling and productivity tracking systems. Occupational safety and health standards add to equipment, insurance and training investments needed by firms dealing with hazardous substances or machinery.</w:t>
      </w:r>
    </w:p>
    <w:p w14:paraId="24850C47"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Regulations around contract types, protection against arbitrary termination, severance pay necessitate expert knowledge of changing labor code provisions as stipulated by labor law.  Social security contributions like provident fund, health insurance requires timely deduction from payrolls and separate record-keeping for each employee.  This and other regulations guide the operations of business as regards labor laws. Adhering to labor laws promotes industrial harmony but adds operational burdens particularly for small enterprises.</w:t>
      </w:r>
    </w:p>
    <w:p w14:paraId="1F34CE8C"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i/>
          <w:iCs/>
          <w:sz w:val="24"/>
          <w:szCs w:val="24"/>
        </w:rPr>
        <w:t>Environmental Regulations:</w:t>
      </w:r>
      <w:r w:rsidRPr="00FA32BF">
        <w:rPr>
          <w:rFonts w:ascii="Times New Roman" w:hAnsi="Times New Roman" w:cs="Times New Roman"/>
          <w:sz w:val="24"/>
          <w:szCs w:val="24"/>
        </w:rPr>
        <w:t xml:space="preserve"> To manage externalities and promote sustainability, the governing bodies issue operational guidelines and rules regarding pollution control, resource conservation, waste disposal and emissions. Regulations require project developers to conduct studies evaluating activities' environmental effects and obtain clearances certifying mitigation of significant impacts (Sadler, 1996). This involves specialized consultation. To control pollution strict regulations, aim to curb industrial pollution through emission and effluent discharge standards and stringent compliance monitoring are enforced (</w:t>
      </w:r>
      <w:proofErr w:type="spellStart"/>
      <w:r w:rsidRPr="00FA32BF">
        <w:rPr>
          <w:rFonts w:ascii="Times New Roman" w:hAnsi="Times New Roman" w:cs="Times New Roman"/>
          <w:sz w:val="24"/>
          <w:szCs w:val="24"/>
        </w:rPr>
        <w:t>Afsah</w:t>
      </w:r>
      <w:proofErr w:type="spellEnd"/>
      <w:r w:rsidRPr="00FA32BF">
        <w:rPr>
          <w:rFonts w:ascii="Times New Roman" w:hAnsi="Times New Roman" w:cs="Times New Roman"/>
          <w:sz w:val="24"/>
          <w:szCs w:val="24"/>
        </w:rPr>
        <w:t xml:space="preserve"> et al., 1996). Firms are required to install pollution control technologies like scrubbers in plants and conduct regular self-monitoring of air and water quality (World Bank, 1999).</w:t>
      </w:r>
    </w:p>
    <w:p w14:paraId="47E480AA"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Regulations promote efficient resource utilization through restrictions on harvesting/extraction rates, mandating use of recycled materials, waste segregation and minimization practices (OECD, 2006). Compliance requires tracking and reporting of material consumption and </w:t>
      </w:r>
      <w:r w:rsidRPr="00FA32BF">
        <w:rPr>
          <w:rFonts w:ascii="Times New Roman" w:hAnsi="Times New Roman" w:cs="Times New Roman"/>
          <w:sz w:val="24"/>
          <w:szCs w:val="24"/>
        </w:rPr>
        <w:lastRenderedPageBreak/>
        <w:t>disposal. Rules regarding proper handling and treatment of hazardous wastes and methods of disposal in secured landfills to prevent contamination are outlined (Dasgupta et al., 2001). While promoting sustainability goals, compliance with these stringent norms involve substantial monitoring costs and technology investments disproportionately burdening SMEs (</w:t>
      </w:r>
      <w:proofErr w:type="spellStart"/>
      <w:r w:rsidRPr="00FA32BF">
        <w:rPr>
          <w:rFonts w:ascii="Times New Roman" w:hAnsi="Times New Roman" w:cs="Times New Roman"/>
          <w:sz w:val="24"/>
          <w:szCs w:val="24"/>
        </w:rPr>
        <w:t>Carraro</w:t>
      </w:r>
      <w:proofErr w:type="spellEnd"/>
      <w:r w:rsidRPr="00FA32BF">
        <w:rPr>
          <w:rFonts w:ascii="Times New Roman" w:hAnsi="Times New Roman" w:cs="Times New Roman"/>
          <w:sz w:val="24"/>
          <w:szCs w:val="24"/>
        </w:rPr>
        <w:t xml:space="preserve"> et al., 2010). Failure to meet standards can result in sanctions, project delays and reputation loss (</w:t>
      </w:r>
      <w:proofErr w:type="spellStart"/>
      <w:r w:rsidRPr="00FA32BF">
        <w:rPr>
          <w:rFonts w:ascii="Times New Roman" w:hAnsi="Times New Roman" w:cs="Times New Roman"/>
          <w:sz w:val="24"/>
          <w:szCs w:val="24"/>
        </w:rPr>
        <w:t>Nachmany</w:t>
      </w:r>
      <w:proofErr w:type="spellEnd"/>
      <w:r w:rsidRPr="00FA32BF">
        <w:rPr>
          <w:rFonts w:ascii="Times New Roman" w:hAnsi="Times New Roman" w:cs="Times New Roman"/>
          <w:sz w:val="24"/>
          <w:szCs w:val="24"/>
        </w:rPr>
        <w:t xml:space="preserve"> et al., 2015)</w:t>
      </w:r>
    </w:p>
    <w:p w14:paraId="2428CF41" w14:textId="77777777" w:rsidR="0033738D" w:rsidRPr="00FA32BF" w:rsidRDefault="0033738D" w:rsidP="0033738D">
      <w:pPr>
        <w:spacing w:after="200"/>
        <w:jc w:val="both"/>
        <w:rPr>
          <w:rFonts w:ascii="Times New Roman" w:hAnsi="Times New Roman" w:cs="Times New Roman"/>
          <w:b/>
          <w:bCs/>
          <w:i/>
          <w:iCs/>
          <w:sz w:val="24"/>
          <w:szCs w:val="24"/>
        </w:rPr>
      </w:pPr>
      <w:bookmarkStart w:id="0" w:name="_Hlk158891731"/>
      <w:r w:rsidRPr="00FA32BF">
        <w:rPr>
          <w:rFonts w:ascii="Times New Roman" w:hAnsi="Times New Roman" w:cs="Times New Roman"/>
          <w:b/>
          <w:bCs/>
          <w:i/>
          <w:iCs/>
          <w:sz w:val="24"/>
          <w:szCs w:val="24"/>
        </w:rPr>
        <w:t>Compliance Requirements, Processes and Costs for Businesses</w:t>
      </w:r>
    </w:p>
    <w:p w14:paraId="4CA3ADC1"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Businesses must adhere to various substantive, procedural, and reporting requirements prescribed by different regulations (Gray and Kaufmann, 1998). This includes obtaining licenses, permits, submitting periodic returns and supporting documents, record maintenance etc. but the compliance requirements and processes differ significantly between large corporations and SMEs. Large corporations typically have dedicated legal and environmental departments to systematically manage compliance across all locations. They can more easily absorb the costs of external compliance audits, consultants, and certification expenses. In contrast, SMEs lack specialized resources and find it difficult to navigate complex requirements. They have to divert limited managerial bandwidth to compliance tasks. SME processes tend to be more ad-hoc and reactive to regulator requests. The compliance costs also vary disproportionately according to the size and type of business. Regulatory impact assessments show direct costs are 1-10% of annual revenues for most SMEs compared to a fraction of that amount for larger multinational corporations. Additionally, SMEs lose more productivity due to interruption during inspections and finding time for staff to understand changing rules. The indirect compliance costs are a higher drain on constrained SME finances and resources. This puts them at a </w:t>
      </w:r>
      <w:proofErr w:type="gramStart"/>
      <w:r w:rsidRPr="00FA32BF">
        <w:rPr>
          <w:rFonts w:ascii="Times New Roman" w:hAnsi="Times New Roman" w:cs="Times New Roman"/>
          <w:sz w:val="24"/>
          <w:szCs w:val="24"/>
        </w:rPr>
        <w:t>competitive disadvantage vis-a-vis well-established corporates</w:t>
      </w:r>
      <w:proofErr w:type="gramEnd"/>
      <w:r w:rsidRPr="00FA32BF">
        <w:rPr>
          <w:rFonts w:ascii="Times New Roman" w:hAnsi="Times New Roman" w:cs="Times New Roman"/>
          <w:sz w:val="24"/>
          <w:szCs w:val="24"/>
        </w:rPr>
        <w:t xml:space="preserve"> that can better plan and budget for regulatory adherence over the long-term. The disproportionate burden on SMEs undermines their operations and growth potential more severely compared to their larger industry peers. </w:t>
      </w:r>
    </w:p>
    <w:bookmarkEnd w:id="0"/>
    <w:p w14:paraId="3E4DA758" w14:textId="77777777" w:rsidR="0033738D" w:rsidRPr="00FA32BF" w:rsidRDefault="0033738D" w:rsidP="0033738D">
      <w:pPr>
        <w:spacing w:after="200"/>
        <w:jc w:val="both"/>
        <w:rPr>
          <w:rFonts w:ascii="Times New Roman" w:hAnsi="Times New Roman" w:cs="Times New Roman"/>
          <w:b/>
          <w:bCs/>
          <w:i/>
          <w:iCs/>
          <w:sz w:val="24"/>
          <w:szCs w:val="24"/>
        </w:rPr>
      </w:pPr>
      <w:r w:rsidRPr="00FA32BF">
        <w:rPr>
          <w:rFonts w:ascii="Times New Roman" w:hAnsi="Times New Roman" w:cs="Times New Roman"/>
          <w:b/>
          <w:bCs/>
          <w:i/>
          <w:iCs/>
          <w:sz w:val="24"/>
          <w:szCs w:val="24"/>
        </w:rPr>
        <w:t>Challenges in regulatory compliance faced by businesses especially SMEs</w:t>
      </w:r>
    </w:p>
    <w:p w14:paraId="4419B9D4"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Regulatory compliance presents significant challenges for businesses worldwide, particularly small and medium-sized enterprises (SMEs) that form the backbone of economies. Strict adherence to laws and regulations governing diverse areas such as taxation, </w:t>
      </w:r>
      <w:proofErr w:type="spellStart"/>
      <w:r w:rsidRPr="00FA32BF">
        <w:rPr>
          <w:rFonts w:ascii="Times New Roman" w:hAnsi="Times New Roman" w:cs="Times New Roman"/>
          <w:sz w:val="24"/>
          <w:szCs w:val="24"/>
        </w:rPr>
        <w:t>labour</w:t>
      </w:r>
      <w:proofErr w:type="spellEnd"/>
      <w:r w:rsidRPr="00FA32BF">
        <w:rPr>
          <w:rFonts w:ascii="Times New Roman" w:hAnsi="Times New Roman" w:cs="Times New Roman"/>
          <w:sz w:val="24"/>
          <w:szCs w:val="24"/>
        </w:rPr>
        <w:t xml:space="preserve">, environment and occupational health &amp; safety entails substantial investments of time and resources. While regulations aim to achieve important policy goals, the associated compliance burden can negatively impact the operations and growth of SMEs. In the United States SMEs face numerous regulatory compliance challenges. Navigating the complex web of federal, state and local regulations strains their limited resources (Crain, 2010). Environmental, health and safety rules regularly change, requiring constant oversight and updates to processes (GAO, 2015). The Affordable Care Act imposed significant new costs, determining insurance obligations, performing coverage assessments, and filing numerous reports added administrative burden (GAO, 2011). At the state-level, differing regulations across 50 jurisdictions increase complexity. For example, California’s labor laws like paid family leave are stricter than Texas, creating multi-level compliance needs for national SMEs (SBA, 2019). Local regulations also differ, a construction firm faces unique permitting for each city and </w:t>
      </w:r>
      <w:r w:rsidRPr="00FA32BF">
        <w:rPr>
          <w:rFonts w:ascii="Times New Roman" w:hAnsi="Times New Roman" w:cs="Times New Roman"/>
          <w:sz w:val="24"/>
          <w:szCs w:val="24"/>
        </w:rPr>
        <w:lastRenderedPageBreak/>
        <w:t xml:space="preserve">county. Such complex, fragmented rules necessitate specialist help that increases compliance expenditures disproportionately for SMEs versus large companies. </w:t>
      </w:r>
    </w:p>
    <w:p w14:paraId="29FAD235"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In France SMEs battle stringent labor regulations. Employers find terminating workers very difficult due to lengthy pre-notice periods and large mandatory severance payments (OECD, 2009). Such inflexibility restricts workforce management. Minimum wage levels, currently at over €10/hour, also constrain their cost competitiveness versus larger firms (Blanchard &amp; </w:t>
      </w:r>
      <w:proofErr w:type="spellStart"/>
      <w:r w:rsidRPr="00FA32BF">
        <w:rPr>
          <w:rFonts w:ascii="Times New Roman" w:hAnsi="Times New Roman" w:cs="Times New Roman"/>
          <w:sz w:val="24"/>
          <w:szCs w:val="24"/>
        </w:rPr>
        <w:t>Landier</w:t>
      </w:r>
      <w:proofErr w:type="spellEnd"/>
      <w:r w:rsidRPr="00FA32BF">
        <w:rPr>
          <w:rFonts w:ascii="Times New Roman" w:hAnsi="Times New Roman" w:cs="Times New Roman"/>
          <w:sz w:val="24"/>
          <w:szCs w:val="24"/>
        </w:rPr>
        <w:t xml:space="preserve">, 2002). Administrative procedures are complex, with multiple agency approvals needed for new ventures. For example, obtaining a construction permit requires navigating over 15 procedures and takes 198 days on average (World Bank, 2020). Compliance with procedures like confirming employee contracts conform to labor code specifications strains smaller enterprises. High taxes, at a combined rate of 53-67%, drain more cash from SME finances compared to S&amp;P 500 firms paying 27% on average (PwC, 2020). South African SMEs face daunting compliance burdens. Frequent changes in tax codes make it hard for small businesses to remain update and correctly interpret regulations (OECD, 2012). Over 20 major amendments in the last decade have increased complexity. Navigating multiple agencies for various permits needed to set-up or expand operations brings delays - it takes over 50 days on average to start a business (World Bank, 2019). Ensuring health and safety standards also poses challenges. Regulatory inspections are known to be strict and non-compliance penalties severe. Even simple errors in maintaining equipment or personnel documentation can invite fines (OHS, 2018). The costs of specialist consultations, safety equipment and training all impact smaller margins disproportionately.  </w:t>
      </w:r>
    </w:p>
    <w:p w14:paraId="165F0D14"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Nigerian SMEs struggle with inadequate regulatory systems. Overlap and inefficiencies across multiple agencies mandate numerous approvals for common activities like imports (</w:t>
      </w:r>
      <w:proofErr w:type="spellStart"/>
      <w:r w:rsidRPr="00FA32BF">
        <w:rPr>
          <w:rFonts w:ascii="Times New Roman" w:hAnsi="Times New Roman" w:cs="Times New Roman"/>
          <w:sz w:val="24"/>
          <w:szCs w:val="24"/>
        </w:rPr>
        <w:t>Adegbite</w:t>
      </w:r>
      <w:proofErr w:type="spellEnd"/>
      <w:r w:rsidRPr="00FA32BF">
        <w:rPr>
          <w:rFonts w:ascii="Times New Roman" w:hAnsi="Times New Roman" w:cs="Times New Roman"/>
          <w:sz w:val="24"/>
          <w:szCs w:val="24"/>
        </w:rPr>
        <w:t xml:space="preserve"> et al., 2018). Lack of codified rules in some sectors like technology increases compliance uncertainty. Inconsistent enforcement is another hurdle. Regulations are differently interpreted in states - obtaining environmental approvals faces disparate processes (EIR, 2013). Complex and non-transparent licensing regimes also hinder business formation. Corruption remains prevalent despite anti-bribery statutes, increasing compliance transaction costs (OECD, 2014).  Limited access to efficient legal recourse poses challenges for correcting legitimate grievances (SBA, 2020). Overall, streamlining regulations and institutions could help address these constraints facing Nigerian SMEs. Chinese small businesses struggle with a voluminous framework of national and local regulations that are constantly evolving. Keeping abreast of changes across environmental, workplace safety, tax and other domains strains limited resources (Qian &amp; Qian, 2005). The challenge is complicated due to decentralization, local authorities regularly introduce their own rules resulting in a lack of uniform compliance standards nationwide (Ling &amp; Huang, 2014). Interpretation of laws also differs across regions posing difficulties for companies operating in multiple provinces. Frequent "policymaking through edicts" by authorities without proper notification or feedback mechanisms increases uncertainty (Sheng et al., 2011). This makes it hard for SMEs to anticipate costs and adjust business plans compared to larger State-Owned Enterprises (SOEs) with political influence. Environmental compliance for instance requires stringent monitoring and reporting regardless of company size. The costs of equipment installation, personnel training and audits drain SME finances disproportionately (Xu et al., 2018). </w:t>
      </w:r>
    </w:p>
    <w:p w14:paraId="5785793A"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lastRenderedPageBreak/>
        <w:t>SMEs worldwide endure disproportionate regulatory burdens compared to larger corporations. They struggle with navigating complex and dynamic compliance frameworks involving multiple jurisdictions. Limited resources constrain abilities to dedicate specialist functions for continuously tracking changes across numerous domains. High compliance costs, administrative difficulties in procuring permits, and inconsistencies in enforcement across regions exacerbate challenges. However, optimizing regulations to enhance coordination, accessibility of information and reduce administrative complexities could significantly ease SMEs' operating obstacles. Most importantly, tailored support systems and outreach programs by national regulatory bodies are needed to create equitable conditions for SME competitiveness in their contribution to economic growth and job creation.</w:t>
      </w:r>
    </w:p>
    <w:p w14:paraId="3688926B" w14:textId="77777777" w:rsidR="0033738D" w:rsidRPr="00FA32BF" w:rsidRDefault="0033738D" w:rsidP="0033738D">
      <w:pPr>
        <w:spacing w:after="200"/>
        <w:jc w:val="both"/>
        <w:rPr>
          <w:rFonts w:ascii="Times New Roman" w:hAnsi="Times New Roman" w:cs="Times New Roman"/>
          <w:b/>
          <w:bCs/>
          <w:sz w:val="24"/>
          <w:szCs w:val="24"/>
        </w:rPr>
      </w:pPr>
      <w:r w:rsidRPr="00FA32BF">
        <w:rPr>
          <w:rFonts w:ascii="Times New Roman" w:hAnsi="Times New Roman" w:cs="Times New Roman"/>
          <w:b/>
          <w:bCs/>
          <w:sz w:val="24"/>
          <w:szCs w:val="24"/>
        </w:rPr>
        <w:t>Access to Finance for Businesses</w:t>
      </w:r>
    </w:p>
    <w:p w14:paraId="3065DF60"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Access to bank lending is crucial any business but many small businesses in developing economies face constraints such as high collateral requirements and complex application processes thereby disadvantaging those lacking assets and resources for complex processes. Venture capital and angel investments can catalyze growth. However, early-stage high-risk firms struggle to attract funding in developing markets with underdeveloped VC industries (Cooney et al., 2018). Venture capital (VC) and angel investments provide an important source of funding for new, growth-oriented startups and small businesses. They are willing to take on the higher risks associated with early-stage firms in exchange for potentially high returns. However, VC/angel funding networks are often underdeveloped in many developing markets. A study by Cooney et al. (2018) found that most developing economies lack a well-established VC industry and supportive entrepreneurial ecosystem. Crowdfunding platforms are increasing but regulations differ across jurisdictions limiting cross-border funding opportunities (World Bank, 2021). Africa has seen success with platforms like Kickstarter facilitating over $10 million in projects (</w:t>
      </w:r>
      <w:proofErr w:type="spellStart"/>
      <w:r w:rsidRPr="00FA32BF">
        <w:rPr>
          <w:rFonts w:ascii="Times New Roman" w:hAnsi="Times New Roman" w:cs="Times New Roman"/>
          <w:sz w:val="24"/>
          <w:szCs w:val="24"/>
        </w:rPr>
        <w:t>Belleflamme</w:t>
      </w:r>
      <w:proofErr w:type="spellEnd"/>
      <w:r w:rsidRPr="00FA32BF">
        <w:rPr>
          <w:rFonts w:ascii="Times New Roman" w:hAnsi="Times New Roman" w:cs="Times New Roman"/>
          <w:sz w:val="24"/>
          <w:szCs w:val="24"/>
        </w:rPr>
        <w:t xml:space="preserve"> et al., 2014).</w:t>
      </w:r>
    </w:p>
    <w:p w14:paraId="4F372ACF"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Alternative data sources are now evaluated to assess creditworthiness of informal SMEs. Digital lending platforms use analytics of cashflows, supply chains, tax/utility payments and mobile phone metadata to make "invisible visible" (World Bank, 2020). Innovations in Fintech like invoice trading platforms and SME credit scoring also expand access where traditional collateral-based lending falls short. Though regulatory sandbox approaches are needed to manage emerging risks (BIS, 2018). Credit bureaus and registries help lower information asymmetry challenges but coverage is still limited in developing nations where many SMEs operate informally without financial reporting (IFC, 2017). Blockchain/distributed ledger technology shows promise to cut costs and streamline supply chain financing by digitizing trade documents for dynamic discounting or forfeiting. However, regulations must adapt to realize potential benefits at scale (World Economic Forum, 2018).  </w:t>
      </w:r>
    </w:p>
    <w:p w14:paraId="1272253D"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Regulatory compliance plays a significant role in determining businesses' access to various sources of financing. Strict adherence to accounting, reporting and transparency standards improves the availability of traditional bank lending by reducing information barriers and perceived credit risk for financial institutions. However, complex and burdensome compliance requirements around documentation and ongoing disclosure can deter smaller enterprises from applying due to the high costs involved. Compliance with securities regulations poses an even </w:t>
      </w:r>
      <w:r w:rsidRPr="00FA32BF">
        <w:rPr>
          <w:rFonts w:ascii="Times New Roman" w:hAnsi="Times New Roman" w:cs="Times New Roman"/>
          <w:sz w:val="24"/>
          <w:szCs w:val="24"/>
        </w:rPr>
        <w:lastRenderedPageBreak/>
        <w:t>greater challenge for SMEs seeking to tap capital markets. The rigorous disclosure and ongoing reporting obligations imposed by securities watchdogs are difficult for many smaller companies to meet on a continual basis. Simplified equity crowdfunding rules exempt from some of these strict rules have helped broaden access to alternative sources of public financing. In the sphere of supply chain finance, digital tools and platforms that boost vendors' ability to easily demonstrate timely compliance with certifications, audits and contractual obligations have facilitated their eligibility for trade credit, forfeiting and dynamic discounting arrangements.</w:t>
      </w:r>
    </w:p>
    <w:p w14:paraId="400B4710"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Tax and accounting regulations also shape businesses' propensity and options for equipment and asset financing leases. Favorable and consistent compliance treatment of leasing expenditures and agreements provides certainty and encourages this mode of external funding. Microfinance regulations play a delicate role, with prudential yet not overly onerous compliance standards balancing outreach and growth on one hand while mitigating risks on the other - over-regulation risks undermining much needed service to micro and small enterprises. Emerging financing models like alternative data-driven lending and peer-to-peer capital are expanding access but require the right regulatory guardrails. Privacy and data security laws are paramount to protecting customer information while still allowing innovative evaluation of alternative repayment data sources. Disclosures, investor protection, fraud prevention and anti-money laundering protocols are also important for maintaining transparency and trust on crowdfunding platforms, without disproportionately disadvantaging smaller operators through highly complex rules. To encourage small businesses and expedite their access to capital a calibrated and nuanced regulatory compliance tailored to business size and sector can significantly stimulate or constrain organizations' capacity to tap the external funds needed to start, operate and grow their enterprises. The right balance is needed between responsible oversight and not overburdening smaller ventures through disproportionate requirements.</w:t>
      </w:r>
    </w:p>
    <w:p w14:paraId="0BB2099B"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Accessing financing from banks and other traditional lenders can pose challenges related to the compliance requirements that businesses must meet. Stringent Know Your Customer (KYC) procedures and paperwork requirements to verify ownership structures and prevent financial crimes may disadvantage small enterprises with limited resources to devote towards due diligence. Lengthy application processes also deter some firms, especially those needing quicker funding turnarounds. Satisfying lenders' collateral demands is a regulatory compliance issue as well. Inability to provide sufficient physical assets as security due to the nature of their operations means many innovative startups are automatically ineligible, regardless of the financial merits of their proposals. Meeting banks' financial statement criteria represents another regulatory hoop. Many young or informal enterprises lack compliant bookkeeping practices and audited accounts, diminishing their access despite strong cashflow-based credit worthiness.</w:t>
      </w:r>
    </w:p>
    <w:p w14:paraId="243B6A87" w14:textId="31071B5A" w:rsidR="0033738D" w:rsidRPr="00FA32BF" w:rsidRDefault="0033738D" w:rsidP="0033738D">
      <w:pPr>
        <w:spacing w:after="200"/>
        <w:jc w:val="both"/>
        <w:rPr>
          <w:rFonts w:ascii="Times New Roman" w:hAnsi="Times New Roman" w:cs="Times New Roman"/>
          <w:b/>
          <w:bCs/>
          <w:sz w:val="24"/>
          <w:szCs w:val="24"/>
        </w:rPr>
      </w:pPr>
      <w:r w:rsidRPr="00FA32BF">
        <w:rPr>
          <w:rFonts w:ascii="Times New Roman" w:hAnsi="Times New Roman" w:cs="Times New Roman"/>
          <w:sz w:val="24"/>
          <w:szCs w:val="24"/>
        </w:rPr>
        <w:t xml:space="preserve">Further obstacles arise from operational licensing requirements. Businesses operating across multiple territories must comply with varied local rules, tax filings, permits and credentialing standards - complexity that obstructs a unified national financing strategy. Regulations enforcing responsible lending principles also impact access unintentionally at times. 'Safe' restrictions aimed at preventing reckless consumer debts can deny worthwhile SME loans due </w:t>
      </w:r>
      <w:r w:rsidRPr="00FA32BF">
        <w:rPr>
          <w:rFonts w:ascii="Times New Roman" w:hAnsi="Times New Roman" w:cs="Times New Roman"/>
          <w:sz w:val="24"/>
          <w:szCs w:val="24"/>
        </w:rPr>
        <w:lastRenderedPageBreak/>
        <w:t>to over-cautious interpretations of risk thresholds.  Digital innovations are helping to address some of these constraints by extracting alternative creditworthiness signals like payment histories, online sales trends and supply chain integrity records. However, privacy and data security compliance issues must also be resolved. Clear rules are similarly important for newer financing channels like peer-to-peer lending to properly balance investor protection with outreach. However, a fine balance is required wherein prudential oversight co-exists with streamlined, proportional operational procedures that do not impair genuine credit-seeking by compliant small businesses. Policy reforms can reduce inadvertent impediments to loan and credit facility acquisition stemming from the interplay between business operations and regulatory compliance demands.</w:t>
      </w:r>
      <w:r w:rsidR="00DA1068" w:rsidRPr="00FA32BF">
        <w:rPr>
          <w:rFonts w:ascii="Times New Roman" w:hAnsi="Times New Roman" w:cs="Times New Roman"/>
          <w:b/>
          <w:bCs/>
          <w:sz w:val="24"/>
          <w:szCs w:val="24"/>
        </w:rPr>
        <w:t xml:space="preserve"> </w:t>
      </w:r>
    </w:p>
    <w:p w14:paraId="16728607" w14:textId="77777777" w:rsidR="0033738D" w:rsidRPr="00FA32BF" w:rsidRDefault="0033738D" w:rsidP="0033738D">
      <w:pPr>
        <w:spacing w:after="200"/>
        <w:jc w:val="both"/>
        <w:rPr>
          <w:rFonts w:ascii="Times New Roman" w:hAnsi="Times New Roman" w:cs="Times New Roman"/>
          <w:b/>
          <w:bCs/>
          <w:sz w:val="24"/>
          <w:szCs w:val="24"/>
        </w:rPr>
      </w:pPr>
      <w:r w:rsidRPr="00FA32BF">
        <w:rPr>
          <w:rFonts w:ascii="Times New Roman" w:hAnsi="Times New Roman" w:cs="Times New Roman"/>
          <w:b/>
          <w:bCs/>
          <w:sz w:val="24"/>
          <w:szCs w:val="24"/>
        </w:rPr>
        <w:t>Impact on Business Growth</w:t>
      </w:r>
    </w:p>
    <w:p w14:paraId="428C6ADF"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Business growth is crucial for expanding economic opportunities and prosperity in developing nations. Growing enterprises create more jobs, increase tax revenue, and boost overall productivity and innovation. Small business growth is especially impactful as these companies represent the vast majority of firms in most developing countries. However, barriers exist including lack of access to skills, capital, markets and technology. Access to finance is a primary driver of business growth. Entrepreneurs require funding to take their companies to the next level by investing in new facilities, equipment, staff and product development. Yet capital markets are often underdeveloped in lower-income countries, limiting options for equity, loans or other mechanisms. Governments play a key role in facilitating SME lending through loan guarantee programs, credit registries and support for banking sector competition. Workforce development is another major growth driver. Growing companies need skilled employees but technical/vocational training systems are weak in many developing nations, restricting the talent pool. Business support services are also limited. Professional assistance with areas like accounting, marketing and export documentation can boost productivity and market expansion. Governments help by funding small business development centers.</w:t>
      </w:r>
    </w:p>
    <w:p w14:paraId="1FECCCEC"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Building technological capabilities is similarly important. Adoption of modern equipment and IT systems increases efficiency and business resilience. However, high costs and lack of digital infrastructure can deter investment. Targeted programs introducing SMEs to new technologies through subsidies, incubation centers and public-private partnerships can bridge affordability gaps. Accessing new markets remains a further driver of scale. International trade diversifies revenue streams and nurtures specialization. But information gaps challenge participation in global value chains. Governments facilitate the growth process through trade facilitation reforms and missions connecting indigenous enterprises with foreign buyers. Overall, coordinated strategies are needed nationwide to address these multifaceted constraints limiting business upgrading and employment generation.</w:t>
      </w:r>
    </w:p>
    <w:p w14:paraId="5A7E4064" w14:textId="77777777" w:rsidR="0033738D" w:rsidRPr="00FA32BF" w:rsidRDefault="0033738D" w:rsidP="0033738D">
      <w:pPr>
        <w:spacing w:after="200"/>
        <w:jc w:val="both"/>
        <w:rPr>
          <w:rFonts w:ascii="Times New Roman" w:hAnsi="Times New Roman" w:cs="Times New Roman"/>
          <w:b/>
          <w:bCs/>
          <w:i/>
          <w:iCs/>
          <w:sz w:val="24"/>
          <w:szCs w:val="24"/>
        </w:rPr>
      </w:pPr>
      <w:r w:rsidRPr="00FA32BF">
        <w:rPr>
          <w:rFonts w:ascii="Times New Roman" w:hAnsi="Times New Roman" w:cs="Times New Roman"/>
          <w:b/>
          <w:bCs/>
          <w:i/>
          <w:iCs/>
          <w:sz w:val="24"/>
          <w:szCs w:val="24"/>
        </w:rPr>
        <w:t xml:space="preserve">Role of Access to Finance in Enabling Business Growth Through Expansion and Innovation </w:t>
      </w:r>
    </w:p>
    <w:p w14:paraId="3879212F"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Access to sufficient financing performs a vital role in facilitating business growth through investments in expansion and innovation activities. Enterprises require working capital to ramp up production and enter new markets (Beck and </w:t>
      </w:r>
      <w:proofErr w:type="spellStart"/>
      <w:r w:rsidRPr="00FA32BF">
        <w:rPr>
          <w:rFonts w:ascii="Times New Roman" w:hAnsi="Times New Roman" w:cs="Times New Roman"/>
          <w:sz w:val="24"/>
          <w:szCs w:val="24"/>
        </w:rPr>
        <w:t>Demirguc-Kunt</w:t>
      </w:r>
      <w:proofErr w:type="spellEnd"/>
      <w:r w:rsidRPr="00FA32BF">
        <w:rPr>
          <w:rFonts w:ascii="Times New Roman" w:hAnsi="Times New Roman" w:cs="Times New Roman"/>
          <w:sz w:val="24"/>
          <w:szCs w:val="24"/>
        </w:rPr>
        <w:t xml:space="preserve">, 2006). They also need </w:t>
      </w:r>
      <w:r w:rsidRPr="00FA32BF">
        <w:rPr>
          <w:rFonts w:ascii="Times New Roman" w:hAnsi="Times New Roman" w:cs="Times New Roman"/>
          <w:sz w:val="24"/>
          <w:szCs w:val="24"/>
        </w:rPr>
        <w:lastRenderedPageBreak/>
        <w:t>funding to upgrade equipment and facilities to increase scale economies (</w:t>
      </w:r>
      <w:proofErr w:type="spellStart"/>
      <w:r w:rsidRPr="00FA32BF">
        <w:rPr>
          <w:rFonts w:ascii="Times New Roman" w:hAnsi="Times New Roman" w:cs="Times New Roman"/>
          <w:sz w:val="24"/>
          <w:szCs w:val="24"/>
        </w:rPr>
        <w:t>Ayyagari</w:t>
      </w:r>
      <w:proofErr w:type="spellEnd"/>
      <w:r w:rsidRPr="00FA32BF">
        <w:rPr>
          <w:rFonts w:ascii="Times New Roman" w:hAnsi="Times New Roman" w:cs="Times New Roman"/>
          <w:sz w:val="24"/>
          <w:szCs w:val="24"/>
        </w:rPr>
        <w:t xml:space="preserve"> et al., 2016). However, access to credit is constrained for many small firms in developing countries due to underdeveloped financial systems and lack of collateral (World Bank, 2020). Limited access to external finance curbs opportunities for investment and productivity growth. Firms resort to using personal savings or retained earnings which constrains expansion plans (</w:t>
      </w:r>
      <w:proofErr w:type="spellStart"/>
      <w:r w:rsidRPr="00FA32BF">
        <w:rPr>
          <w:rFonts w:ascii="Times New Roman" w:hAnsi="Times New Roman" w:cs="Times New Roman"/>
          <w:sz w:val="24"/>
          <w:szCs w:val="24"/>
        </w:rPr>
        <w:t>Samila</w:t>
      </w:r>
      <w:proofErr w:type="spellEnd"/>
      <w:r w:rsidRPr="00FA32BF">
        <w:rPr>
          <w:rFonts w:ascii="Times New Roman" w:hAnsi="Times New Roman" w:cs="Times New Roman"/>
          <w:sz w:val="24"/>
          <w:szCs w:val="24"/>
        </w:rPr>
        <w:t xml:space="preserve"> and Sorenson, 2011). This financing gap has been shown to reduce R&amp;D expenditures and technological upgrading (</w:t>
      </w:r>
      <w:proofErr w:type="spellStart"/>
      <w:r w:rsidRPr="00FA32BF">
        <w:rPr>
          <w:rFonts w:ascii="Times New Roman" w:hAnsi="Times New Roman" w:cs="Times New Roman"/>
          <w:sz w:val="24"/>
          <w:szCs w:val="24"/>
        </w:rPr>
        <w:t>Cincera</w:t>
      </w:r>
      <w:proofErr w:type="spellEnd"/>
      <w:r w:rsidRPr="00FA32BF">
        <w:rPr>
          <w:rFonts w:ascii="Times New Roman" w:hAnsi="Times New Roman" w:cs="Times New Roman"/>
          <w:sz w:val="24"/>
          <w:szCs w:val="24"/>
        </w:rPr>
        <w:t xml:space="preserve"> and </w:t>
      </w:r>
      <w:proofErr w:type="spellStart"/>
      <w:r w:rsidRPr="00FA32BF">
        <w:rPr>
          <w:rFonts w:ascii="Times New Roman" w:hAnsi="Times New Roman" w:cs="Times New Roman"/>
          <w:sz w:val="24"/>
          <w:szCs w:val="24"/>
        </w:rPr>
        <w:t>Ravet</w:t>
      </w:r>
      <w:proofErr w:type="spellEnd"/>
      <w:r w:rsidRPr="00FA32BF">
        <w:rPr>
          <w:rFonts w:ascii="Times New Roman" w:hAnsi="Times New Roman" w:cs="Times New Roman"/>
          <w:sz w:val="24"/>
          <w:szCs w:val="24"/>
        </w:rPr>
        <w:t>, 2010). Leveraging intangible assets to qualify for loans also becomes difficult without a proven innovation track record (OECD, 2015).</w:t>
      </w:r>
    </w:p>
    <w:p w14:paraId="45C88190" w14:textId="3CA6C536" w:rsidR="0033738D" w:rsidRPr="00FA32BF" w:rsidRDefault="0033738D" w:rsidP="0033738D">
      <w:pPr>
        <w:spacing w:after="200"/>
        <w:jc w:val="both"/>
        <w:rPr>
          <w:rFonts w:ascii="Times New Roman" w:hAnsi="Times New Roman" w:cs="Times New Roman"/>
          <w:b/>
          <w:bCs/>
          <w:i/>
          <w:iCs/>
          <w:sz w:val="24"/>
          <w:szCs w:val="24"/>
        </w:rPr>
      </w:pPr>
      <w:r w:rsidRPr="00FA32BF">
        <w:rPr>
          <w:rFonts w:ascii="Times New Roman" w:hAnsi="Times New Roman" w:cs="Times New Roman"/>
          <w:sz w:val="24"/>
          <w:szCs w:val="24"/>
        </w:rPr>
        <w:t>Venture capital and angel investments can help fill this void by supporting innovative startups, especially in high-technology sectors (Cooray et al., 2021). However, such risk capital markets remain nascent across much of the Global South (Da Rin et al., 2011). Even developing economies with active stock markets face constraints raising growth capital via public listings due to strict exchange requirements (</w:t>
      </w:r>
      <w:proofErr w:type="spellStart"/>
      <w:r w:rsidRPr="00FA32BF">
        <w:rPr>
          <w:rFonts w:ascii="Times New Roman" w:hAnsi="Times New Roman" w:cs="Times New Roman"/>
          <w:sz w:val="24"/>
          <w:szCs w:val="24"/>
        </w:rPr>
        <w:t>Ahlers</w:t>
      </w:r>
      <w:proofErr w:type="spellEnd"/>
      <w:r w:rsidRPr="00FA32BF">
        <w:rPr>
          <w:rFonts w:ascii="Times New Roman" w:hAnsi="Times New Roman" w:cs="Times New Roman"/>
          <w:sz w:val="24"/>
          <w:szCs w:val="24"/>
        </w:rPr>
        <w:t xml:space="preserve"> et al., 2015). Government initiatives aim to address these shortfalls through credit guarantee schemes, alternative lending platforms and funding incentives (Rocha et al., 2021). Opening access to trade finance also bolsters export capacity development (</w:t>
      </w:r>
      <w:proofErr w:type="spellStart"/>
      <w:r w:rsidRPr="00FA32BF">
        <w:rPr>
          <w:rFonts w:ascii="Times New Roman" w:hAnsi="Times New Roman" w:cs="Times New Roman"/>
          <w:sz w:val="24"/>
          <w:szCs w:val="24"/>
        </w:rPr>
        <w:t>Iwatsubo</w:t>
      </w:r>
      <w:proofErr w:type="spellEnd"/>
      <w:r w:rsidRPr="00FA32BF">
        <w:rPr>
          <w:rFonts w:ascii="Times New Roman" w:hAnsi="Times New Roman" w:cs="Times New Roman"/>
          <w:sz w:val="24"/>
          <w:szCs w:val="24"/>
        </w:rPr>
        <w:t xml:space="preserve"> and Brophy, 2017). Further work is still needed as financing gaps remain sizeable impediments in the most vulnerable markets (IMF, 2020). Addressing financial constraints through innovative and inclusive systems has significant potential to stimulate business investments, expansion plans and productivity growth in developing nations. This remains a policy priority if small firms are to fulfill their job creation role and drive wider economic development.</w:t>
      </w:r>
      <w:r w:rsidR="00DA1068" w:rsidRPr="00FA32BF">
        <w:rPr>
          <w:rFonts w:ascii="Times New Roman" w:hAnsi="Times New Roman" w:cs="Times New Roman"/>
          <w:b/>
          <w:bCs/>
          <w:i/>
          <w:iCs/>
          <w:sz w:val="24"/>
          <w:szCs w:val="24"/>
        </w:rPr>
        <w:t xml:space="preserve"> </w:t>
      </w:r>
    </w:p>
    <w:p w14:paraId="381F503F" w14:textId="77777777" w:rsidR="0033738D" w:rsidRPr="00FA32BF" w:rsidRDefault="0033738D" w:rsidP="0033738D">
      <w:pPr>
        <w:spacing w:after="200"/>
        <w:jc w:val="both"/>
        <w:rPr>
          <w:rFonts w:ascii="Times New Roman" w:hAnsi="Times New Roman" w:cs="Times New Roman"/>
          <w:b/>
          <w:bCs/>
          <w:i/>
          <w:iCs/>
          <w:sz w:val="24"/>
          <w:szCs w:val="24"/>
        </w:rPr>
      </w:pPr>
      <w:r w:rsidRPr="00FA32BF">
        <w:rPr>
          <w:rFonts w:ascii="Times New Roman" w:hAnsi="Times New Roman" w:cs="Times New Roman"/>
          <w:b/>
          <w:bCs/>
          <w:i/>
          <w:iCs/>
          <w:sz w:val="24"/>
          <w:szCs w:val="24"/>
        </w:rPr>
        <w:t>Adverse Impact of Regulatory Bottlenecks and Lack of Access to Finance on Potential Growth</w:t>
      </w:r>
    </w:p>
    <w:p w14:paraId="2456600C"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Regulatory burdens and financing constraints can significantly hamper the growth prospects of businesses, especially in developing economies. Complex regulations increase compliance costs, discouraging expansion plans (</w:t>
      </w:r>
      <w:proofErr w:type="spellStart"/>
      <w:r w:rsidRPr="00FA32BF">
        <w:rPr>
          <w:rFonts w:ascii="Times New Roman" w:hAnsi="Times New Roman" w:cs="Times New Roman"/>
          <w:sz w:val="24"/>
          <w:szCs w:val="24"/>
        </w:rPr>
        <w:t>Klapper</w:t>
      </w:r>
      <w:proofErr w:type="spellEnd"/>
      <w:r w:rsidRPr="00FA32BF">
        <w:rPr>
          <w:rFonts w:ascii="Times New Roman" w:hAnsi="Times New Roman" w:cs="Times New Roman"/>
          <w:sz w:val="24"/>
          <w:szCs w:val="24"/>
        </w:rPr>
        <w:t xml:space="preserve"> and Love, 2011). Disproportionate rules also divert resources from productive investments (</w:t>
      </w:r>
      <w:proofErr w:type="spellStart"/>
      <w:r w:rsidRPr="00FA32BF">
        <w:rPr>
          <w:rFonts w:ascii="Times New Roman" w:hAnsi="Times New Roman" w:cs="Times New Roman"/>
          <w:sz w:val="24"/>
          <w:szCs w:val="24"/>
        </w:rPr>
        <w:t>Djankov</w:t>
      </w:r>
      <w:proofErr w:type="spellEnd"/>
      <w:r w:rsidRPr="00FA32BF">
        <w:rPr>
          <w:rFonts w:ascii="Times New Roman" w:hAnsi="Times New Roman" w:cs="Times New Roman"/>
          <w:sz w:val="24"/>
          <w:szCs w:val="24"/>
        </w:rPr>
        <w:t xml:space="preserve"> et al., 2002). Lack of access to loans compounds these effects, limiting working capital and investments (Beck and </w:t>
      </w:r>
      <w:proofErr w:type="spellStart"/>
      <w:r w:rsidRPr="00FA32BF">
        <w:rPr>
          <w:rFonts w:ascii="Times New Roman" w:hAnsi="Times New Roman" w:cs="Times New Roman"/>
          <w:sz w:val="24"/>
          <w:szCs w:val="24"/>
        </w:rPr>
        <w:t>Demirguc-Kunt</w:t>
      </w:r>
      <w:proofErr w:type="spellEnd"/>
      <w:r w:rsidRPr="00FA32BF">
        <w:rPr>
          <w:rFonts w:ascii="Times New Roman" w:hAnsi="Times New Roman" w:cs="Times New Roman"/>
          <w:sz w:val="24"/>
          <w:szCs w:val="24"/>
        </w:rPr>
        <w:t>, 2006). SMEs are hit hardest as they have less capacity to navigate red tape or self-finance growth (</w:t>
      </w:r>
      <w:proofErr w:type="spellStart"/>
      <w:r w:rsidRPr="00FA32BF">
        <w:rPr>
          <w:rFonts w:ascii="Times New Roman" w:hAnsi="Times New Roman" w:cs="Times New Roman"/>
          <w:sz w:val="24"/>
          <w:szCs w:val="24"/>
        </w:rPr>
        <w:t>Aterido</w:t>
      </w:r>
      <w:proofErr w:type="spellEnd"/>
      <w:r w:rsidRPr="00FA32BF">
        <w:rPr>
          <w:rFonts w:ascii="Times New Roman" w:hAnsi="Times New Roman" w:cs="Times New Roman"/>
          <w:sz w:val="24"/>
          <w:szCs w:val="24"/>
        </w:rPr>
        <w:t xml:space="preserve"> et al., 2011). Regulatory barriers are shown to reduce firm entry and employment creation over the long-run (</w:t>
      </w:r>
      <w:proofErr w:type="spellStart"/>
      <w:r w:rsidRPr="00FA32BF">
        <w:rPr>
          <w:rFonts w:ascii="Times New Roman" w:hAnsi="Times New Roman" w:cs="Times New Roman"/>
          <w:sz w:val="24"/>
          <w:szCs w:val="24"/>
        </w:rPr>
        <w:t>Kottaridi</w:t>
      </w:r>
      <w:proofErr w:type="spellEnd"/>
      <w:r w:rsidRPr="00FA32BF">
        <w:rPr>
          <w:rFonts w:ascii="Times New Roman" w:hAnsi="Times New Roman" w:cs="Times New Roman"/>
          <w:sz w:val="24"/>
          <w:szCs w:val="24"/>
        </w:rPr>
        <w:t xml:space="preserve"> and </w:t>
      </w:r>
      <w:proofErr w:type="spellStart"/>
      <w:r w:rsidRPr="00FA32BF">
        <w:rPr>
          <w:rFonts w:ascii="Times New Roman" w:hAnsi="Times New Roman" w:cs="Times New Roman"/>
          <w:sz w:val="24"/>
          <w:szCs w:val="24"/>
        </w:rPr>
        <w:t>Stengos</w:t>
      </w:r>
      <w:proofErr w:type="spellEnd"/>
      <w:r w:rsidRPr="00FA32BF">
        <w:rPr>
          <w:rFonts w:ascii="Times New Roman" w:hAnsi="Times New Roman" w:cs="Times New Roman"/>
          <w:sz w:val="24"/>
          <w:szCs w:val="24"/>
        </w:rPr>
        <w:t>, 2020). Financing obstacles also curb productivity improvements and technological adoption that drive competitive advantage (</w:t>
      </w:r>
      <w:proofErr w:type="spellStart"/>
      <w:r w:rsidRPr="00FA32BF">
        <w:rPr>
          <w:rFonts w:ascii="Times New Roman" w:hAnsi="Times New Roman" w:cs="Times New Roman"/>
          <w:sz w:val="24"/>
          <w:szCs w:val="24"/>
        </w:rPr>
        <w:t>Cincera</w:t>
      </w:r>
      <w:proofErr w:type="spellEnd"/>
      <w:r w:rsidRPr="00FA32BF">
        <w:rPr>
          <w:rFonts w:ascii="Times New Roman" w:hAnsi="Times New Roman" w:cs="Times New Roman"/>
          <w:sz w:val="24"/>
          <w:szCs w:val="24"/>
        </w:rPr>
        <w:t xml:space="preserve"> and </w:t>
      </w:r>
      <w:proofErr w:type="spellStart"/>
      <w:r w:rsidRPr="00FA32BF">
        <w:rPr>
          <w:rFonts w:ascii="Times New Roman" w:hAnsi="Times New Roman" w:cs="Times New Roman"/>
          <w:sz w:val="24"/>
          <w:szCs w:val="24"/>
        </w:rPr>
        <w:t>Ravet</w:t>
      </w:r>
      <w:proofErr w:type="spellEnd"/>
      <w:r w:rsidRPr="00FA32BF">
        <w:rPr>
          <w:rFonts w:ascii="Times New Roman" w:hAnsi="Times New Roman" w:cs="Times New Roman"/>
          <w:sz w:val="24"/>
          <w:szCs w:val="24"/>
        </w:rPr>
        <w:t>, 2010). Without access to growth capital, many firms remain trapped in low-productivity subsistence activities (Drexler et al., 2014).</w:t>
      </w:r>
    </w:p>
    <w:p w14:paraId="20AF7A10"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In sectors exhibiting strong spillovers like manufacturing, these impediments constrain wider development and job multipliers (Freund and </w:t>
      </w:r>
      <w:proofErr w:type="spellStart"/>
      <w:r w:rsidRPr="00FA32BF">
        <w:rPr>
          <w:rFonts w:ascii="Times New Roman" w:hAnsi="Times New Roman" w:cs="Times New Roman"/>
          <w:sz w:val="24"/>
          <w:szCs w:val="24"/>
        </w:rPr>
        <w:t>Bolaky</w:t>
      </w:r>
      <w:proofErr w:type="spellEnd"/>
      <w:r w:rsidRPr="00FA32BF">
        <w:rPr>
          <w:rFonts w:ascii="Times New Roman" w:hAnsi="Times New Roman" w:cs="Times New Roman"/>
          <w:sz w:val="24"/>
          <w:szCs w:val="24"/>
        </w:rPr>
        <w:t xml:space="preserve">, 2008). Access to finance is also vital for operational resilience - inability to obtain credit lines and liquidity during economic downturns magnifies risks of insolvency (Beck et al., 2008).  Governments play an important role addressing these constraints. Regulatory reform programs and easier business entry foster entrepreneurship (Lee and Gordon, 2005). Credit infrastructure development, loan guarantee schemes and linkage programs with financing institutions bolster access to growth capital (World Bank, 2013).  overall, reducing regulatory compliance burdens and easing financing </w:t>
      </w:r>
      <w:r w:rsidRPr="00FA32BF">
        <w:rPr>
          <w:rFonts w:ascii="Times New Roman" w:hAnsi="Times New Roman" w:cs="Times New Roman"/>
          <w:sz w:val="24"/>
          <w:szCs w:val="24"/>
        </w:rPr>
        <w:lastRenderedPageBreak/>
        <w:t>bottlenecks for SMEs is essential to maximize their potential job creation and contribution to productivity and economic growth (IFC, 2017). Failure to address these policy shortcomings undermines development prospects.</w:t>
      </w:r>
    </w:p>
    <w:p w14:paraId="06EA7927" w14:textId="77777777" w:rsidR="0033738D" w:rsidRPr="00FA32BF" w:rsidRDefault="0033738D" w:rsidP="0033738D">
      <w:pPr>
        <w:spacing w:after="200"/>
        <w:jc w:val="both"/>
        <w:rPr>
          <w:rFonts w:ascii="Times New Roman" w:hAnsi="Times New Roman" w:cs="Times New Roman"/>
          <w:b/>
          <w:bCs/>
          <w:i/>
          <w:iCs/>
          <w:sz w:val="24"/>
          <w:szCs w:val="24"/>
        </w:rPr>
      </w:pPr>
      <w:r w:rsidRPr="00FA32BF">
        <w:rPr>
          <w:rFonts w:ascii="Times New Roman" w:hAnsi="Times New Roman" w:cs="Times New Roman"/>
          <w:b/>
          <w:bCs/>
          <w:i/>
          <w:iCs/>
          <w:sz w:val="24"/>
          <w:szCs w:val="24"/>
        </w:rPr>
        <w:t>Case studies and evidence from developing country businesses</w:t>
      </w:r>
    </w:p>
    <w:p w14:paraId="6C368FA1"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Various case studies provide real-world evidence of these linkages. A World Bank evaluation in Indonesia found that access to microcredit increased borrowers' revenues 29-40% and employment 16-33% over two years (Parker et al., 2016). In Mexico, a small business support program offering financing, training and networks raised sales &amp; profits 9-13% annually for 4 years (Bruhn et al., 2018). Meanwhile, more burdensome regulations have been shown to impede growth. Firms in Niger cited procedures around tax payments, licenses and contracts as major constraints, with most citing impacts like reduced scale and investment (De </w:t>
      </w:r>
      <w:proofErr w:type="spellStart"/>
      <w:r w:rsidRPr="00FA32BF">
        <w:rPr>
          <w:rFonts w:ascii="Times New Roman" w:hAnsi="Times New Roman" w:cs="Times New Roman"/>
          <w:sz w:val="24"/>
          <w:szCs w:val="24"/>
        </w:rPr>
        <w:t>Vlieghere</w:t>
      </w:r>
      <w:proofErr w:type="spellEnd"/>
      <w:r w:rsidRPr="00FA32BF">
        <w:rPr>
          <w:rFonts w:ascii="Times New Roman" w:hAnsi="Times New Roman" w:cs="Times New Roman"/>
          <w:sz w:val="24"/>
          <w:szCs w:val="24"/>
        </w:rPr>
        <w:t xml:space="preserve"> et al., 2019). </w:t>
      </w:r>
    </w:p>
    <w:p w14:paraId="5F620F1E" w14:textId="482F052C"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Larger dataset analyses reinforce these findings. Using World Bank Enterprise Survey data across 80 countries, </w:t>
      </w:r>
      <w:proofErr w:type="spellStart"/>
      <w:r w:rsidRPr="00FA32BF">
        <w:rPr>
          <w:rFonts w:ascii="Times New Roman" w:hAnsi="Times New Roman" w:cs="Times New Roman"/>
          <w:sz w:val="24"/>
          <w:szCs w:val="24"/>
        </w:rPr>
        <w:t>Aterido</w:t>
      </w:r>
      <w:proofErr w:type="spellEnd"/>
      <w:r w:rsidRPr="00FA32BF">
        <w:rPr>
          <w:rFonts w:ascii="Times New Roman" w:hAnsi="Times New Roman" w:cs="Times New Roman"/>
          <w:sz w:val="24"/>
          <w:szCs w:val="24"/>
        </w:rPr>
        <w:t xml:space="preserve"> et al. (2011) found regulatory rigidities significantly reduced average annual sales and employment growth rates of small firms by 1-3 percentage points. Similarly, firms in countries with underdeveloped credit markets exhibited 4-5% lower average annual labor productivity growth (Beck et al., 2005). Cross-country regressions also linked higher private credit availability to faster subsequent manufacturing sector growth (King &amp; Levine, 1993). Evidence at the macroeconomic level is also compelling. Research analyzing financial development and growth across over 100 nations found a causal increase in per capita income of over 1% annually with a 10% rise in private credit to GDP (Rioja &amp; </w:t>
      </w:r>
      <w:proofErr w:type="spellStart"/>
      <w:r w:rsidRPr="00FA32BF">
        <w:rPr>
          <w:rFonts w:ascii="Times New Roman" w:hAnsi="Times New Roman" w:cs="Times New Roman"/>
          <w:sz w:val="24"/>
          <w:szCs w:val="24"/>
        </w:rPr>
        <w:t>Valev</w:t>
      </w:r>
      <w:proofErr w:type="spellEnd"/>
      <w:r w:rsidRPr="00FA32BF">
        <w:rPr>
          <w:rFonts w:ascii="Times New Roman" w:hAnsi="Times New Roman" w:cs="Times New Roman"/>
          <w:sz w:val="24"/>
          <w:szCs w:val="24"/>
        </w:rPr>
        <w:t>, 2004). Studies of investment climate reforms in Sub-Saharan Africa also correlated reductions in business regulations and improvements in access to finance with rising GDP and productivity trends (</w:t>
      </w:r>
      <w:proofErr w:type="spellStart"/>
      <w:r w:rsidRPr="00FA32BF">
        <w:rPr>
          <w:rFonts w:ascii="Times New Roman" w:hAnsi="Times New Roman" w:cs="Times New Roman"/>
          <w:sz w:val="24"/>
          <w:szCs w:val="24"/>
        </w:rPr>
        <w:t>Djankov</w:t>
      </w:r>
      <w:proofErr w:type="spellEnd"/>
      <w:r w:rsidRPr="00FA32BF">
        <w:rPr>
          <w:rFonts w:ascii="Times New Roman" w:hAnsi="Times New Roman" w:cs="Times New Roman"/>
          <w:sz w:val="24"/>
          <w:szCs w:val="24"/>
        </w:rPr>
        <w:t xml:space="preserve"> et al., 2010). Collectively, these diverse case studies and analyses provide convincing empirical validation that access to suitable financing and well-designed regulations are material determinants of firm growth outcomes, competitiveness, and aggregate developmental progress—especially pertinent issues in low-income economies.</w:t>
      </w:r>
      <w:r w:rsidR="00DA1068" w:rsidRPr="00FA32BF">
        <w:rPr>
          <w:rFonts w:ascii="Times New Roman" w:hAnsi="Times New Roman" w:cs="Times New Roman"/>
          <w:sz w:val="24"/>
          <w:szCs w:val="24"/>
        </w:rPr>
        <w:t xml:space="preserve"> </w:t>
      </w:r>
    </w:p>
    <w:p w14:paraId="4FEACDFC" w14:textId="77777777" w:rsidR="0033738D" w:rsidRPr="00FA32BF" w:rsidRDefault="0033738D" w:rsidP="0033738D">
      <w:pPr>
        <w:spacing w:after="200"/>
        <w:jc w:val="both"/>
        <w:rPr>
          <w:rFonts w:ascii="Times New Roman" w:hAnsi="Times New Roman" w:cs="Times New Roman"/>
          <w:b/>
          <w:bCs/>
          <w:sz w:val="24"/>
          <w:szCs w:val="24"/>
        </w:rPr>
      </w:pPr>
      <w:r w:rsidRPr="00FA32BF">
        <w:rPr>
          <w:rFonts w:ascii="Times New Roman" w:hAnsi="Times New Roman" w:cs="Times New Roman"/>
          <w:b/>
          <w:bCs/>
          <w:sz w:val="24"/>
          <w:szCs w:val="24"/>
        </w:rPr>
        <w:t>Recommendations and Conclusion</w:t>
      </w:r>
    </w:p>
    <w:p w14:paraId="7DED1F73"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To boost compliance, governments should streamline processes and conduct impact assessments to identify disproportionately burdensome rules for simplification or removal, establish regulatory guillotines mandating periodic cuts to reduce creeping compliance costs, standardize documentation and filing procedures to harmonize compliance across jurisdictions, leverage technology such as digital forms, online portals and auto-population of existing records to lessen paperwork burden, encourage e-signatures and e-billing to lower expenses, implement </w:t>
      </w:r>
      <w:proofErr w:type="spellStart"/>
      <w:r w:rsidRPr="00FA32BF">
        <w:rPr>
          <w:rFonts w:ascii="Times New Roman" w:hAnsi="Times New Roman" w:cs="Times New Roman"/>
          <w:sz w:val="24"/>
          <w:szCs w:val="24"/>
        </w:rPr>
        <w:t>RegTech</w:t>
      </w:r>
      <w:proofErr w:type="spellEnd"/>
      <w:r w:rsidRPr="00FA32BF">
        <w:rPr>
          <w:rFonts w:ascii="Times New Roman" w:hAnsi="Times New Roman" w:cs="Times New Roman"/>
          <w:sz w:val="24"/>
          <w:szCs w:val="24"/>
        </w:rPr>
        <w:t xml:space="preserve"> solutions applying analytics to strengthen monitoring with less disruption, build capacity through guidance materials, workshops and help desks to clarify obligations, partner with experienced consultants to assist with transitioning to international standards, introduce certification schemes recognizing proficiency to boost credibility and partnerships, provide tailored support such as phased implementation, advisory services and financing facilities to ease burdens on micro/growing firms, coordinate requirements across agencies to reduce duplicative/conflicting demands in different sectors, implement data-sharing within </w:t>
      </w:r>
      <w:r w:rsidRPr="00FA32BF">
        <w:rPr>
          <w:rFonts w:ascii="Times New Roman" w:hAnsi="Times New Roman" w:cs="Times New Roman"/>
          <w:sz w:val="24"/>
          <w:szCs w:val="24"/>
        </w:rPr>
        <w:lastRenderedPageBreak/>
        <w:t>privacy parameters to empower informed consent through traceable yet pertinent data access via federated systems, and publish outcome reports showcasing impact in order to build stakeholder confidence in targeted, risk-based approaches balancing oversight with opportunity.</w:t>
      </w:r>
    </w:p>
    <w:p w14:paraId="0CDC75FE"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Other measures to boost compliance include:</w:t>
      </w:r>
    </w:p>
    <w:p w14:paraId="00A74474" w14:textId="77777777" w:rsidR="0033738D" w:rsidRPr="00FA32BF" w:rsidRDefault="0033738D" w:rsidP="00DA1068">
      <w:pPr>
        <w:pStyle w:val="ListParagraph"/>
        <w:numPr>
          <w:ilvl w:val="0"/>
          <w:numId w:val="29"/>
        </w:numPr>
        <w:spacing w:after="200"/>
        <w:ind w:left="1080"/>
        <w:jc w:val="both"/>
        <w:rPr>
          <w:rFonts w:ascii="Times New Roman" w:hAnsi="Times New Roman" w:cs="Times New Roman"/>
          <w:sz w:val="24"/>
          <w:szCs w:val="24"/>
        </w:rPr>
      </w:pPr>
      <w:r w:rsidRPr="00FA32BF">
        <w:rPr>
          <w:rFonts w:ascii="Times New Roman" w:hAnsi="Times New Roman" w:cs="Times New Roman"/>
          <w:sz w:val="24"/>
          <w:szCs w:val="24"/>
        </w:rPr>
        <w:t xml:space="preserve">To promote business growth, regulations need to be optimized for efficiency without compromising oversight objectives. Conducting impact assessments can identify disproportionately burdensome rules for simplification or removal. Establishing regulatory guillotines mandating periodic cuts helps reduce creeping compliance costs over time. Standardizing documentation and filing procedures harmonizes compliance across jurisdictions. </w:t>
      </w:r>
    </w:p>
    <w:p w14:paraId="2BF9CBF1" w14:textId="77777777" w:rsidR="0033738D" w:rsidRPr="00FA32BF" w:rsidRDefault="0033738D" w:rsidP="00DA1068">
      <w:pPr>
        <w:pStyle w:val="ListParagraph"/>
        <w:numPr>
          <w:ilvl w:val="0"/>
          <w:numId w:val="29"/>
        </w:numPr>
        <w:spacing w:after="200"/>
        <w:ind w:left="1080"/>
        <w:jc w:val="both"/>
        <w:rPr>
          <w:rFonts w:ascii="Times New Roman" w:hAnsi="Times New Roman" w:cs="Times New Roman"/>
          <w:sz w:val="24"/>
          <w:szCs w:val="24"/>
        </w:rPr>
      </w:pPr>
      <w:r w:rsidRPr="00FA32BF">
        <w:rPr>
          <w:rFonts w:ascii="Times New Roman" w:hAnsi="Times New Roman" w:cs="Times New Roman"/>
          <w:sz w:val="24"/>
          <w:szCs w:val="24"/>
        </w:rPr>
        <w:t xml:space="preserve">Leveraging technology also streamlines processes. Digital forms, online portals and auto-population of registrations from existing taxpayer/business records lessen paperwork. Encouraging e-signatures and e-billing lowers expenses. </w:t>
      </w:r>
      <w:proofErr w:type="spellStart"/>
      <w:r w:rsidRPr="00FA32BF">
        <w:rPr>
          <w:rFonts w:ascii="Times New Roman" w:hAnsi="Times New Roman" w:cs="Times New Roman"/>
          <w:sz w:val="24"/>
          <w:szCs w:val="24"/>
        </w:rPr>
        <w:t>RegTech</w:t>
      </w:r>
      <w:proofErr w:type="spellEnd"/>
      <w:r w:rsidRPr="00FA32BF">
        <w:rPr>
          <w:rFonts w:ascii="Times New Roman" w:hAnsi="Times New Roman" w:cs="Times New Roman"/>
          <w:sz w:val="24"/>
          <w:szCs w:val="24"/>
        </w:rPr>
        <w:t xml:space="preserve"> solutions applying analytics to regulatory data strengthen monitoring with less disruption. </w:t>
      </w:r>
    </w:p>
    <w:p w14:paraId="2911A010" w14:textId="77777777" w:rsidR="0033738D" w:rsidRPr="00FA32BF" w:rsidRDefault="0033738D" w:rsidP="00DA1068">
      <w:pPr>
        <w:pStyle w:val="ListParagraph"/>
        <w:numPr>
          <w:ilvl w:val="0"/>
          <w:numId w:val="29"/>
        </w:numPr>
        <w:spacing w:after="200"/>
        <w:ind w:left="1080"/>
        <w:jc w:val="both"/>
        <w:rPr>
          <w:rFonts w:ascii="Times New Roman" w:hAnsi="Times New Roman" w:cs="Times New Roman"/>
          <w:sz w:val="24"/>
          <w:szCs w:val="24"/>
        </w:rPr>
      </w:pPr>
      <w:r w:rsidRPr="00FA32BF">
        <w:rPr>
          <w:rFonts w:ascii="Times New Roman" w:hAnsi="Times New Roman" w:cs="Times New Roman"/>
          <w:sz w:val="24"/>
          <w:szCs w:val="24"/>
        </w:rPr>
        <w:t xml:space="preserve">Capacity building elevates compliance levels. Guidance materials, workshops and help desks clarify obligations accessibly. Partnering experienced consultants assists with transitioning to international standards. Certification schemes recognizing proficiency boost credibility and partnerships.  </w:t>
      </w:r>
    </w:p>
    <w:p w14:paraId="24365E0B" w14:textId="77777777" w:rsidR="0033738D" w:rsidRPr="00FA32BF" w:rsidRDefault="0033738D" w:rsidP="00DA1068">
      <w:pPr>
        <w:pStyle w:val="ListParagraph"/>
        <w:numPr>
          <w:ilvl w:val="0"/>
          <w:numId w:val="29"/>
        </w:numPr>
        <w:spacing w:after="200"/>
        <w:ind w:left="1080"/>
        <w:jc w:val="both"/>
        <w:rPr>
          <w:rFonts w:ascii="Times New Roman" w:hAnsi="Times New Roman" w:cs="Times New Roman"/>
          <w:sz w:val="24"/>
          <w:szCs w:val="24"/>
        </w:rPr>
      </w:pPr>
      <w:r w:rsidRPr="00FA32BF">
        <w:rPr>
          <w:rFonts w:ascii="Times New Roman" w:hAnsi="Times New Roman" w:cs="Times New Roman"/>
          <w:sz w:val="24"/>
          <w:szCs w:val="24"/>
        </w:rPr>
        <w:t>Tailored support eases burdens on micro/growing firms. Phased implementation defers stringent rules initially. Advisory services address priority issues. Financing facilitates upgrades enabling eventual full participation. Sectoral coordination reduces duplicative/conflicting demands across agencies.</w:t>
      </w:r>
    </w:p>
    <w:p w14:paraId="54C28E1F" w14:textId="77777777" w:rsidR="0033738D" w:rsidRPr="00FA32BF" w:rsidRDefault="0033738D" w:rsidP="00DA1068">
      <w:pPr>
        <w:pStyle w:val="ListParagraph"/>
        <w:numPr>
          <w:ilvl w:val="0"/>
          <w:numId w:val="29"/>
        </w:numPr>
        <w:spacing w:after="200"/>
        <w:ind w:left="1080"/>
        <w:jc w:val="both"/>
        <w:rPr>
          <w:rFonts w:ascii="Times New Roman" w:hAnsi="Times New Roman" w:cs="Times New Roman"/>
          <w:sz w:val="24"/>
          <w:szCs w:val="24"/>
        </w:rPr>
      </w:pPr>
      <w:r w:rsidRPr="00FA32BF">
        <w:rPr>
          <w:rFonts w:ascii="Times New Roman" w:hAnsi="Times New Roman" w:cs="Times New Roman"/>
          <w:sz w:val="24"/>
          <w:szCs w:val="24"/>
        </w:rPr>
        <w:t>Data-sharing within parameters respects privacy while serving the compliance ecosystem. Timely disclosures empower informed consent. Federated systems access pertinent fields with traceability. Outcome reporting showcases impact, building stakeholder confidence in targeted, risk-based approaches balancing oversight with opportunity. Reinforcing these recommendations presents a holistic solution balancing interest.</w:t>
      </w:r>
    </w:p>
    <w:p w14:paraId="46D30D58"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This paper examined the critical links between regulatory compliance, access to finance, and business growth, particularly in developing economies. The evidence and case studies presented demonstrate that an optimal business environment requires streamlined regulations and improved access to suitable financing options. While prudent oversight is necessary, disproportionate compliance burdens and lack of external funding sources can significantly curb the growth potential and job creation ability of small enterprises. The recommendations provided focus on practical reforms and initiatives to address these constraints. Conducting regulatory impact assessments, establishing reduction targets, leveraging technology, and capacity building initiatives can work to streamline compliance in a risk-based manner over time. Tailoring support for micro and growing firms through phased implementation, advisory services, and targeted financing can reduce premature regulatory strain. Strategies to boost </w:t>
      </w:r>
      <w:r w:rsidRPr="00FA32BF">
        <w:rPr>
          <w:rFonts w:ascii="Times New Roman" w:hAnsi="Times New Roman" w:cs="Times New Roman"/>
          <w:sz w:val="24"/>
          <w:szCs w:val="24"/>
        </w:rPr>
        <w:lastRenderedPageBreak/>
        <w:t>financial inclusion through alternative data lending models, credit infrastructure development and loan guarantee schemes were also suggested.</w:t>
      </w:r>
    </w:p>
    <w:p w14:paraId="29B3D577" w14:textId="77777777" w:rsidR="0033738D" w:rsidRPr="00FA32BF" w:rsidRDefault="0033738D" w:rsidP="0033738D">
      <w:pPr>
        <w:spacing w:after="200"/>
        <w:jc w:val="both"/>
        <w:rPr>
          <w:rFonts w:ascii="Times New Roman" w:hAnsi="Times New Roman" w:cs="Times New Roman"/>
          <w:sz w:val="24"/>
          <w:szCs w:val="24"/>
        </w:rPr>
      </w:pPr>
      <w:r w:rsidRPr="00FA32BF">
        <w:rPr>
          <w:rFonts w:ascii="Times New Roman" w:hAnsi="Times New Roman" w:cs="Times New Roman"/>
          <w:sz w:val="24"/>
          <w:szCs w:val="24"/>
        </w:rPr>
        <w:t xml:space="preserve">If implemented appropriately, such solutions can balance oversight responsibilities with opportunities for business expansion, innovation, and aggregate economic development. By modernizing compliance frameworks and expanding access to suitable credit, governments provide the foundation for vibrant small firm sectors to maximize their contributions to productivity, employment, and growth progress especially critical in developing market contexts. </w:t>
      </w:r>
    </w:p>
    <w:p w14:paraId="731110AB" w14:textId="10A57A06" w:rsidR="0033738D" w:rsidRDefault="0033738D" w:rsidP="0033738D">
      <w:pPr>
        <w:spacing w:after="200"/>
        <w:jc w:val="both"/>
        <w:rPr>
          <w:rFonts w:ascii="Times New Roman" w:hAnsi="Times New Roman" w:cs="Times New Roman"/>
          <w:sz w:val="24"/>
          <w:szCs w:val="24"/>
        </w:rPr>
      </w:pPr>
    </w:p>
    <w:p w14:paraId="3746F88B" w14:textId="77777777" w:rsidR="00DA1068" w:rsidRPr="00FA32BF" w:rsidRDefault="00DA1068" w:rsidP="0033738D">
      <w:pPr>
        <w:spacing w:after="200"/>
        <w:jc w:val="both"/>
        <w:rPr>
          <w:rFonts w:ascii="Times New Roman" w:hAnsi="Times New Roman" w:cs="Times New Roman"/>
          <w:sz w:val="24"/>
          <w:szCs w:val="24"/>
        </w:rPr>
      </w:pPr>
    </w:p>
    <w:p w14:paraId="70B9532C" w14:textId="75A68767" w:rsidR="0033738D" w:rsidRPr="00FA32BF" w:rsidRDefault="00DA1068" w:rsidP="0033738D">
      <w:pPr>
        <w:spacing w:after="200"/>
        <w:jc w:val="both"/>
        <w:rPr>
          <w:rFonts w:ascii="Times New Roman" w:hAnsi="Times New Roman" w:cs="Times New Roman"/>
          <w:b/>
          <w:bCs/>
          <w:sz w:val="24"/>
          <w:szCs w:val="24"/>
        </w:rPr>
      </w:pPr>
      <w:r w:rsidRPr="00FA32BF">
        <w:rPr>
          <w:rFonts w:ascii="Times New Roman" w:hAnsi="Times New Roman" w:cs="Times New Roman"/>
          <w:b/>
          <w:bCs/>
          <w:sz w:val="24"/>
          <w:szCs w:val="24"/>
        </w:rPr>
        <w:t xml:space="preserve">REFERENCES </w:t>
      </w:r>
    </w:p>
    <w:p w14:paraId="10B8C449" w14:textId="77777777" w:rsidR="0033738D" w:rsidRPr="00FA32BF" w:rsidRDefault="0033738D" w:rsidP="0033738D">
      <w:pPr>
        <w:spacing w:after="200"/>
        <w:ind w:left="720" w:hanging="720"/>
        <w:jc w:val="both"/>
        <w:rPr>
          <w:rFonts w:ascii="Times New Roman" w:hAnsi="Times New Roman" w:cs="Times New Roman"/>
          <w:sz w:val="24"/>
          <w:szCs w:val="24"/>
        </w:rPr>
      </w:pPr>
      <w:proofErr w:type="spellStart"/>
      <w:r w:rsidRPr="00FA32BF">
        <w:rPr>
          <w:rFonts w:ascii="Times New Roman" w:hAnsi="Times New Roman" w:cs="Times New Roman"/>
          <w:sz w:val="24"/>
          <w:szCs w:val="24"/>
        </w:rPr>
        <w:t>Afsah</w:t>
      </w:r>
      <w:proofErr w:type="spellEnd"/>
      <w:r w:rsidRPr="00FA32BF">
        <w:rPr>
          <w:rFonts w:ascii="Times New Roman" w:hAnsi="Times New Roman" w:cs="Times New Roman"/>
          <w:sz w:val="24"/>
          <w:szCs w:val="24"/>
        </w:rPr>
        <w:t xml:space="preserve">, S., </w:t>
      </w:r>
      <w:proofErr w:type="spellStart"/>
      <w:r w:rsidRPr="00FA32BF">
        <w:rPr>
          <w:rFonts w:ascii="Times New Roman" w:hAnsi="Times New Roman" w:cs="Times New Roman"/>
          <w:sz w:val="24"/>
          <w:szCs w:val="24"/>
        </w:rPr>
        <w:t>Laplante</w:t>
      </w:r>
      <w:proofErr w:type="spellEnd"/>
      <w:r w:rsidRPr="00FA32BF">
        <w:rPr>
          <w:rFonts w:ascii="Times New Roman" w:hAnsi="Times New Roman" w:cs="Times New Roman"/>
          <w:sz w:val="24"/>
          <w:szCs w:val="24"/>
        </w:rPr>
        <w:t>, B., &amp; Wheeler, D. (1996). Controlling industrial pollution: A new paradigm. Journal of Environment &amp; Development, 5(1), 412-439. https://doi.org/10.1177%2F107049659600500106</w:t>
      </w:r>
    </w:p>
    <w:p w14:paraId="1B4EDD65" w14:textId="77777777" w:rsidR="0033738D" w:rsidRPr="00FA32BF" w:rsidRDefault="0033738D" w:rsidP="0033738D">
      <w:pPr>
        <w:spacing w:after="200"/>
        <w:ind w:left="720" w:hanging="720"/>
        <w:jc w:val="both"/>
        <w:rPr>
          <w:rFonts w:ascii="Times New Roman" w:hAnsi="Times New Roman" w:cs="Times New Roman"/>
          <w:sz w:val="24"/>
          <w:szCs w:val="24"/>
        </w:rPr>
      </w:pPr>
      <w:proofErr w:type="spellStart"/>
      <w:r w:rsidRPr="00FA32BF">
        <w:rPr>
          <w:rFonts w:ascii="Times New Roman" w:hAnsi="Times New Roman" w:cs="Times New Roman"/>
          <w:sz w:val="24"/>
          <w:szCs w:val="24"/>
        </w:rPr>
        <w:t>Ayyagari</w:t>
      </w:r>
      <w:proofErr w:type="spellEnd"/>
      <w:r w:rsidRPr="00FA32BF">
        <w:rPr>
          <w:rFonts w:ascii="Times New Roman" w:hAnsi="Times New Roman" w:cs="Times New Roman"/>
          <w:sz w:val="24"/>
          <w:szCs w:val="24"/>
        </w:rPr>
        <w:t xml:space="preserve">, M., </w:t>
      </w:r>
      <w:proofErr w:type="spellStart"/>
      <w:r w:rsidRPr="00FA32BF">
        <w:rPr>
          <w:rFonts w:ascii="Times New Roman" w:hAnsi="Times New Roman" w:cs="Times New Roman"/>
          <w:sz w:val="24"/>
          <w:szCs w:val="24"/>
        </w:rPr>
        <w:t>Demirgüç-Kunt</w:t>
      </w:r>
      <w:proofErr w:type="spellEnd"/>
      <w:r w:rsidRPr="00FA32BF">
        <w:rPr>
          <w:rFonts w:ascii="Times New Roman" w:hAnsi="Times New Roman" w:cs="Times New Roman"/>
          <w:sz w:val="24"/>
          <w:szCs w:val="24"/>
        </w:rPr>
        <w:t xml:space="preserve">, A., &amp; </w:t>
      </w:r>
      <w:proofErr w:type="spellStart"/>
      <w:r w:rsidRPr="00FA32BF">
        <w:rPr>
          <w:rFonts w:ascii="Times New Roman" w:hAnsi="Times New Roman" w:cs="Times New Roman"/>
          <w:sz w:val="24"/>
          <w:szCs w:val="24"/>
        </w:rPr>
        <w:t>Maksimovic</w:t>
      </w:r>
      <w:proofErr w:type="spellEnd"/>
      <w:r w:rsidRPr="00FA32BF">
        <w:rPr>
          <w:rFonts w:ascii="Times New Roman" w:hAnsi="Times New Roman" w:cs="Times New Roman"/>
          <w:sz w:val="24"/>
          <w:szCs w:val="24"/>
        </w:rPr>
        <w:t xml:space="preserve">, V. (2016). Who creates jobs in developing </w:t>
      </w:r>
      <w:proofErr w:type="gramStart"/>
      <w:r w:rsidRPr="00FA32BF">
        <w:rPr>
          <w:rFonts w:ascii="Times New Roman" w:hAnsi="Times New Roman" w:cs="Times New Roman"/>
          <w:sz w:val="24"/>
          <w:szCs w:val="24"/>
        </w:rPr>
        <w:t>countries?.</w:t>
      </w:r>
      <w:proofErr w:type="gramEnd"/>
      <w:r w:rsidRPr="00FA32BF">
        <w:rPr>
          <w:rFonts w:ascii="Times New Roman" w:hAnsi="Times New Roman" w:cs="Times New Roman"/>
          <w:sz w:val="24"/>
          <w:szCs w:val="24"/>
        </w:rPr>
        <w:t xml:space="preserve"> Small Business Economics, 47(1), 75-99. </w:t>
      </w:r>
    </w:p>
    <w:p w14:paraId="3B9019FF" w14:textId="77777777" w:rsidR="0033738D" w:rsidRPr="00FA32BF" w:rsidRDefault="0033738D" w:rsidP="0033738D">
      <w:pPr>
        <w:spacing w:after="200"/>
        <w:ind w:left="720" w:hanging="720"/>
        <w:jc w:val="both"/>
        <w:rPr>
          <w:rFonts w:ascii="Times New Roman" w:hAnsi="Times New Roman" w:cs="Times New Roman"/>
          <w:sz w:val="24"/>
          <w:szCs w:val="24"/>
        </w:rPr>
      </w:pPr>
      <w:proofErr w:type="spellStart"/>
      <w:r w:rsidRPr="00FA32BF">
        <w:rPr>
          <w:rFonts w:ascii="Times New Roman" w:hAnsi="Times New Roman" w:cs="Times New Roman"/>
          <w:sz w:val="24"/>
          <w:szCs w:val="24"/>
        </w:rPr>
        <w:t>Baldé</w:t>
      </w:r>
      <w:proofErr w:type="spellEnd"/>
      <w:r w:rsidRPr="00FA32BF">
        <w:rPr>
          <w:rFonts w:ascii="Times New Roman" w:hAnsi="Times New Roman" w:cs="Times New Roman"/>
          <w:sz w:val="24"/>
          <w:szCs w:val="24"/>
        </w:rPr>
        <w:t xml:space="preserve">, C. P., Wang, F., </w:t>
      </w:r>
      <w:proofErr w:type="spellStart"/>
      <w:r w:rsidRPr="00FA32BF">
        <w:rPr>
          <w:rFonts w:ascii="Times New Roman" w:hAnsi="Times New Roman" w:cs="Times New Roman"/>
          <w:sz w:val="24"/>
          <w:szCs w:val="24"/>
        </w:rPr>
        <w:t>Kuehr</w:t>
      </w:r>
      <w:proofErr w:type="spellEnd"/>
      <w:r w:rsidRPr="00FA32BF">
        <w:rPr>
          <w:rFonts w:ascii="Times New Roman" w:hAnsi="Times New Roman" w:cs="Times New Roman"/>
          <w:sz w:val="24"/>
          <w:szCs w:val="24"/>
        </w:rPr>
        <w:t xml:space="preserve">, R., &amp; Huisman, J. (2017). The global e-waste monitor 2017. United Nations University, International Telecommunication Union, and International Solid Waste Association. https://ewastemonitor.info/ </w:t>
      </w:r>
    </w:p>
    <w:p w14:paraId="22422F38"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Beck, T., &amp; </w:t>
      </w:r>
      <w:proofErr w:type="spellStart"/>
      <w:r w:rsidRPr="00FA32BF">
        <w:rPr>
          <w:rFonts w:ascii="Times New Roman" w:hAnsi="Times New Roman" w:cs="Times New Roman"/>
          <w:sz w:val="24"/>
          <w:szCs w:val="24"/>
        </w:rPr>
        <w:t>Demirguc-Kunt</w:t>
      </w:r>
      <w:proofErr w:type="spellEnd"/>
      <w:r w:rsidRPr="00FA32BF">
        <w:rPr>
          <w:rFonts w:ascii="Times New Roman" w:hAnsi="Times New Roman" w:cs="Times New Roman"/>
          <w:sz w:val="24"/>
          <w:szCs w:val="24"/>
        </w:rPr>
        <w:t xml:space="preserve">, A. (2006). Small and medium-size enterprises: Access to finance as a growth constraint. Journal of Banking &amp; finance, 30(11), 2931-2943. </w:t>
      </w:r>
    </w:p>
    <w:p w14:paraId="601A3A2E" w14:textId="77777777" w:rsidR="0033738D" w:rsidRPr="00FA32BF" w:rsidRDefault="0033738D" w:rsidP="0033738D">
      <w:pPr>
        <w:spacing w:after="200"/>
        <w:ind w:left="720" w:hanging="720"/>
        <w:jc w:val="both"/>
        <w:rPr>
          <w:rFonts w:ascii="Times New Roman" w:hAnsi="Times New Roman" w:cs="Times New Roman"/>
          <w:sz w:val="24"/>
          <w:szCs w:val="24"/>
        </w:rPr>
      </w:pPr>
      <w:proofErr w:type="spellStart"/>
      <w:r w:rsidRPr="00FA32BF">
        <w:rPr>
          <w:rFonts w:ascii="Times New Roman" w:hAnsi="Times New Roman" w:cs="Times New Roman"/>
          <w:sz w:val="24"/>
          <w:szCs w:val="24"/>
        </w:rPr>
        <w:t>Carraro</w:t>
      </w:r>
      <w:proofErr w:type="spellEnd"/>
      <w:r w:rsidRPr="00FA32BF">
        <w:rPr>
          <w:rFonts w:ascii="Times New Roman" w:hAnsi="Times New Roman" w:cs="Times New Roman"/>
          <w:sz w:val="24"/>
          <w:szCs w:val="24"/>
        </w:rPr>
        <w:t xml:space="preserve">, C., </w:t>
      </w:r>
      <w:proofErr w:type="spellStart"/>
      <w:r w:rsidRPr="00FA32BF">
        <w:rPr>
          <w:rFonts w:ascii="Times New Roman" w:hAnsi="Times New Roman" w:cs="Times New Roman"/>
          <w:sz w:val="24"/>
          <w:szCs w:val="24"/>
        </w:rPr>
        <w:t>Galeotti</w:t>
      </w:r>
      <w:proofErr w:type="spellEnd"/>
      <w:r w:rsidRPr="00FA32BF">
        <w:rPr>
          <w:rFonts w:ascii="Times New Roman" w:hAnsi="Times New Roman" w:cs="Times New Roman"/>
          <w:sz w:val="24"/>
          <w:szCs w:val="24"/>
        </w:rPr>
        <w:t>, M., &amp; Gallo, M. (2010). Environmental regulation when firms care about their public image. Resource and Energy Economics, 32(4), 613-627. https://doi.org/10.1016/j.reseneeco.2010.05.003</w:t>
      </w:r>
    </w:p>
    <w:p w14:paraId="6936D172"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Cooray, A., Wickremasinghe, G., &amp; </w:t>
      </w:r>
      <w:proofErr w:type="spellStart"/>
      <w:r w:rsidRPr="00FA32BF">
        <w:rPr>
          <w:rFonts w:ascii="Times New Roman" w:hAnsi="Times New Roman" w:cs="Times New Roman"/>
          <w:sz w:val="24"/>
          <w:szCs w:val="24"/>
        </w:rPr>
        <w:t>Wijesiri</w:t>
      </w:r>
      <w:proofErr w:type="spellEnd"/>
      <w:r w:rsidRPr="00FA32BF">
        <w:rPr>
          <w:rFonts w:ascii="Times New Roman" w:hAnsi="Times New Roman" w:cs="Times New Roman"/>
          <w:sz w:val="24"/>
          <w:szCs w:val="24"/>
        </w:rPr>
        <w:t>, M. (2021). Determinants of venture capital financing: Emerging market evidence. Research in International Business and Finance, 55, 101324.</w:t>
      </w:r>
    </w:p>
    <w:p w14:paraId="770E0157"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Crain, W. M., &amp; Crain, N. V. (2010). The impact of regulatory costs on small firms. U.S. Small Business Administration: Office of Advocacy. https://www.sba.gov/sites/default/files/The-Impact-of-Regulatory-Costs-on-Small-Firms-Research-Summary.pdf</w:t>
      </w:r>
    </w:p>
    <w:p w14:paraId="6F565B44"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Da Rin, M., Hellmann, T., &amp; </w:t>
      </w:r>
      <w:proofErr w:type="spellStart"/>
      <w:r w:rsidRPr="00FA32BF">
        <w:rPr>
          <w:rFonts w:ascii="Times New Roman" w:hAnsi="Times New Roman" w:cs="Times New Roman"/>
          <w:sz w:val="24"/>
          <w:szCs w:val="24"/>
        </w:rPr>
        <w:t>Puri</w:t>
      </w:r>
      <w:proofErr w:type="spellEnd"/>
      <w:r w:rsidRPr="00FA32BF">
        <w:rPr>
          <w:rFonts w:ascii="Times New Roman" w:hAnsi="Times New Roman" w:cs="Times New Roman"/>
          <w:sz w:val="24"/>
          <w:szCs w:val="24"/>
        </w:rPr>
        <w:t>, M. (2013). A survey of venture capital research. In Handbook of the Economics of Finance (Vol. 2, pp. 573-648). Elsevier.</w:t>
      </w:r>
    </w:p>
    <w:p w14:paraId="13B0A9DA" w14:textId="77777777" w:rsidR="00AC56BF" w:rsidRDefault="00AC56BF" w:rsidP="0033738D">
      <w:pPr>
        <w:spacing w:after="200"/>
        <w:ind w:left="720" w:hanging="720"/>
        <w:jc w:val="both"/>
        <w:rPr>
          <w:rFonts w:ascii="Times New Roman" w:hAnsi="Times New Roman" w:cs="Times New Roman"/>
          <w:sz w:val="24"/>
          <w:szCs w:val="24"/>
        </w:rPr>
      </w:pPr>
    </w:p>
    <w:p w14:paraId="5EF838DC" w14:textId="36486DFF"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lastRenderedPageBreak/>
        <w:t>Dasgupta, S., Wang, H., &amp; Wheeler, D. (2001). Surviving success: Policy reform and the future of industrial pollution in China. The World Bank. http://documents.worldbank.org/curated/en/681031468771831641/Surviving-success-policy-reform-and-the-future-of-industrial-pollution-in-China</w:t>
      </w:r>
    </w:p>
    <w:p w14:paraId="73AA452F"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Dolson, J. E., Towson, M. A., &amp; Sigel, J. P. (2014). Measuring and managing indirect costs of regulatory compliance: An executive summary. NERA Economic Consulting. https://www.nera.com/publications/archive/2014/measuring-and-managing-indirect-costs-of-regulatory-compliance-a.html</w:t>
      </w:r>
    </w:p>
    <w:p w14:paraId="662D002D"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Gray, C. W., &amp; Kaufmann, D. (1998). Corruption and development. Finance and Development, 35(1), 7-10. </w:t>
      </w:r>
      <w:hyperlink r:id="rId8" w:history="1">
        <w:r w:rsidRPr="00FA32BF">
          <w:rPr>
            <w:rStyle w:val="Hyperlink"/>
            <w:rFonts w:ascii="Times New Roman" w:hAnsi="Times New Roman" w:cs="Times New Roman"/>
            <w:sz w:val="24"/>
            <w:szCs w:val="24"/>
          </w:rPr>
          <w:t>https://www.imf.org/external/pubs/ft/fandd/1998/03/pdf/gray.pdf</w:t>
        </w:r>
      </w:hyperlink>
    </w:p>
    <w:p w14:paraId="676CB1F6"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IFC. (2017). MSME country indicators 2017. International Finance Corporation. https://www.ifc.org/wps/wcm/connect/0fe6e6e9-c452-44a7-9cf3-8867044b3930/MSMECI-FINAL-Report.pdf?MOD=AJPERES&amp;CVID=m5uWrzX </w:t>
      </w:r>
    </w:p>
    <w:p w14:paraId="4FF40E9F" w14:textId="77777777" w:rsidR="0033738D" w:rsidRPr="00FA32BF" w:rsidRDefault="0033738D" w:rsidP="0033738D">
      <w:pPr>
        <w:spacing w:after="200"/>
        <w:ind w:left="720" w:hanging="720"/>
        <w:jc w:val="both"/>
        <w:rPr>
          <w:rFonts w:ascii="Times New Roman" w:hAnsi="Times New Roman" w:cs="Times New Roman"/>
          <w:sz w:val="24"/>
          <w:szCs w:val="24"/>
        </w:rPr>
      </w:pPr>
      <w:proofErr w:type="spellStart"/>
      <w:r w:rsidRPr="00FA32BF">
        <w:rPr>
          <w:rFonts w:ascii="Times New Roman" w:hAnsi="Times New Roman" w:cs="Times New Roman"/>
          <w:sz w:val="24"/>
          <w:szCs w:val="24"/>
        </w:rPr>
        <w:t>Krawiec</w:t>
      </w:r>
      <w:proofErr w:type="spellEnd"/>
      <w:r w:rsidRPr="00FA32BF">
        <w:rPr>
          <w:rFonts w:ascii="Times New Roman" w:hAnsi="Times New Roman" w:cs="Times New Roman"/>
          <w:sz w:val="24"/>
          <w:szCs w:val="24"/>
        </w:rPr>
        <w:t>, K. D. (2003). Cosmetic compliance and the failure of negotiated governance. Washington University Law Review, 81, 487.</w:t>
      </w:r>
    </w:p>
    <w:p w14:paraId="60E1C4F3" w14:textId="77777777" w:rsidR="0033738D" w:rsidRPr="00FA32BF" w:rsidRDefault="0033738D" w:rsidP="0033738D">
      <w:pPr>
        <w:spacing w:after="200"/>
        <w:ind w:left="720" w:hanging="720"/>
        <w:jc w:val="both"/>
        <w:rPr>
          <w:rFonts w:ascii="Times New Roman" w:hAnsi="Times New Roman" w:cs="Times New Roman"/>
          <w:sz w:val="24"/>
          <w:szCs w:val="24"/>
        </w:rPr>
      </w:pPr>
      <w:proofErr w:type="spellStart"/>
      <w:r w:rsidRPr="00FA32BF">
        <w:rPr>
          <w:rFonts w:ascii="Times New Roman" w:hAnsi="Times New Roman" w:cs="Times New Roman"/>
          <w:sz w:val="24"/>
          <w:szCs w:val="24"/>
        </w:rPr>
        <w:t>Nachmany</w:t>
      </w:r>
      <w:proofErr w:type="spellEnd"/>
      <w:r w:rsidRPr="00FA32BF">
        <w:rPr>
          <w:rFonts w:ascii="Times New Roman" w:hAnsi="Times New Roman" w:cs="Times New Roman"/>
          <w:sz w:val="24"/>
          <w:szCs w:val="24"/>
        </w:rPr>
        <w:t xml:space="preserve">, M., Fankhauser, S., </w:t>
      </w:r>
      <w:proofErr w:type="spellStart"/>
      <w:r w:rsidRPr="00FA32BF">
        <w:rPr>
          <w:rFonts w:ascii="Times New Roman" w:hAnsi="Times New Roman" w:cs="Times New Roman"/>
          <w:sz w:val="24"/>
          <w:szCs w:val="24"/>
        </w:rPr>
        <w:t>Davidová</w:t>
      </w:r>
      <w:proofErr w:type="spellEnd"/>
      <w:r w:rsidRPr="00FA32BF">
        <w:rPr>
          <w:rFonts w:ascii="Times New Roman" w:hAnsi="Times New Roman" w:cs="Times New Roman"/>
          <w:sz w:val="24"/>
          <w:szCs w:val="24"/>
        </w:rPr>
        <w:t xml:space="preserve">, J., Kingsmill, N., </w:t>
      </w:r>
      <w:proofErr w:type="spellStart"/>
      <w:r w:rsidRPr="00FA32BF">
        <w:rPr>
          <w:rFonts w:ascii="Times New Roman" w:hAnsi="Times New Roman" w:cs="Times New Roman"/>
          <w:sz w:val="24"/>
          <w:szCs w:val="24"/>
        </w:rPr>
        <w:t>Landesman</w:t>
      </w:r>
      <w:proofErr w:type="spellEnd"/>
      <w:r w:rsidRPr="00FA32BF">
        <w:rPr>
          <w:rFonts w:ascii="Times New Roman" w:hAnsi="Times New Roman" w:cs="Times New Roman"/>
          <w:sz w:val="24"/>
          <w:szCs w:val="24"/>
        </w:rPr>
        <w:t>, T., Roppongi, H., Schleifer, P., &amp; Setzer, J. (2015). The 2015 global climate legislation study: A review of climate change legislation in 99 countries. LSE Grantham Research Institute on Climate Change and the Environment. http://www.lse.ac.uk/GranthamInstitute/wp-content/uploads/2015/05/Global_climate_legislation_study_20151.pdf</w:t>
      </w:r>
    </w:p>
    <w:p w14:paraId="504D7A4A"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OECD. (2006). Environmental compliance and enforcement in China: An assessment of current practices and ways forward. </w:t>
      </w:r>
      <w:proofErr w:type="spellStart"/>
      <w:r w:rsidRPr="00FA32BF">
        <w:rPr>
          <w:rFonts w:ascii="Times New Roman" w:hAnsi="Times New Roman" w:cs="Times New Roman"/>
          <w:sz w:val="24"/>
          <w:szCs w:val="24"/>
        </w:rPr>
        <w:t>Organisation</w:t>
      </w:r>
      <w:proofErr w:type="spellEnd"/>
      <w:r w:rsidRPr="00FA32BF">
        <w:rPr>
          <w:rFonts w:ascii="Times New Roman" w:hAnsi="Times New Roman" w:cs="Times New Roman"/>
          <w:sz w:val="24"/>
          <w:szCs w:val="24"/>
        </w:rPr>
        <w:t xml:space="preserve"> for Economic Co-Operation and Development. https://www.oecd.org/environment/environmental-compliance-and-enforcement-in-china-9789264024365-en.htm</w:t>
      </w:r>
    </w:p>
    <w:p w14:paraId="475944D2"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OECD. (2009). Top barriers and drivers to SME </w:t>
      </w:r>
      <w:proofErr w:type="spellStart"/>
      <w:r w:rsidRPr="00FA32BF">
        <w:rPr>
          <w:rFonts w:ascii="Times New Roman" w:hAnsi="Times New Roman" w:cs="Times New Roman"/>
          <w:sz w:val="24"/>
          <w:szCs w:val="24"/>
        </w:rPr>
        <w:t>internationalisation</w:t>
      </w:r>
      <w:proofErr w:type="spellEnd"/>
      <w:r w:rsidRPr="00FA32BF">
        <w:rPr>
          <w:rFonts w:ascii="Times New Roman" w:hAnsi="Times New Roman" w:cs="Times New Roman"/>
          <w:sz w:val="24"/>
          <w:szCs w:val="24"/>
        </w:rPr>
        <w:t xml:space="preserve">. </w:t>
      </w:r>
      <w:proofErr w:type="spellStart"/>
      <w:r w:rsidRPr="00FA32BF">
        <w:rPr>
          <w:rFonts w:ascii="Times New Roman" w:hAnsi="Times New Roman" w:cs="Times New Roman"/>
          <w:sz w:val="24"/>
          <w:szCs w:val="24"/>
        </w:rPr>
        <w:t>Organisation</w:t>
      </w:r>
      <w:proofErr w:type="spellEnd"/>
      <w:r w:rsidRPr="00FA32BF">
        <w:rPr>
          <w:rFonts w:ascii="Times New Roman" w:hAnsi="Times New Roman" w:cs="Times New Roman"/>
          <w:sz w:val="24"/>
          <w:szCs w:val="24"/>
        </w:rPr>
        <w:t xml:space="preserve"> for Economic Cooperation and Development. https://www.oecd.org/cfe/smes/44682910.pdf  </w:t>
      </w:r>
    </w:p>
    <w:p w14:paraId="46B20142" w14:textId="77777777" w:rsidR="0033738D" w:rsidRPr="00FA32BF" w:rsidRDefault="0033738D" w:rsidP="0033738D">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Sadler, B. (1996). Environmental assessment in a changing world: Evaluating practice to improve performance. Canadian Environmental Assessment Agency. https://www.ceaa.gc.ca/archive/B-Sadler-EA_in_a_Changing_World.pdf</w:t>
      </w:r>
    </w:p>
    <w:p w14:paraId="35136C26" w14:textId="77777777" w:rsidR="00AC56BF" w:rsidRDefault="0033738D" w:rsidP="00AC56BF">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World Bank. (1999). Poland - Beyond transition: The environmental agenda. World Bank. </w:t>
      </w:r>
      <w:hyperlink r:id="rId9" w:history="1">
        <w:r w:rsidRPr="00FA32BF">
          <w:rPr>
            <w:rStyle w:val="Hyperlink"/>
            <w:rFonts w:ascii="Times New Roman" w:hAnsi="Times New Roman" w:cs="Times New Roman"/>
            <w:sz w:val="24"/>
            <w:szCs w:val="24"/>
          </w:rPr>
          <w:t>http://documents.worldbank.org/curated/en/662981468780696305/Poland-Beyond-transition-the-environmental-agenda</w:t>
        </w:r>
      </w:hyperlink>
      <w:r w:rsidRPr="00FA32BF">
        <w:rPr>
          <w:rFonts w:ascii="Times New Roman" w:hAnsi="Times New Roman" w:cs="Times New Roman"/>
          <w:sz w:val="24"/>
          <w:szCs w:val="24"/>
        </w:rPr>
        <w:t>.</w:t>
      </w:r>
    </w:p>
    <w:p w14:paraId="54291656" w14:textId="77777777" w:rsidR="00AC56BF" w:rsidRDefault="0033738D" w:rsidP="00AC56BF">
      <w:pPr>
        <w:spacing w:after="200"/>
        <w:ind w:left="720" w:hanging="720"/>
        <w:jc w:val="both"/>
        <w:rPr>
          <w:rFonts w:ascii="Times New Roman" w:hAnsi="Times New Roman" w:cs="Times New Roman"/>
          <w:sz w:val="24"/>
          <w:szCs w:val="24"/>
        </w:rPr>
      </w:pPr>
      <w:r w:rsidRPr="00FA32BF">
        <w:rPr>
          <w:rFonts w:ascii="Times New Roman" w:hAnsi="Times New Roman" w:cs="Times New Roman"/>
          <w:sz w:val="24"/>
          <w:szCs w:val="24"/>
        </w:rPr>
        <w:t xml:space="preserve">Drexler, A., Fischer, G., &amp; </w:t>
      </w:r>
      <w:proofErr w:type="spellStart"/>
      <w:r w:rsidRPr="00FA32BF">
        <w:rPr>
          <w:rFonts w:ascii="Times New Roman" w:hAnsi="Times New Roman" w:cs="Times New Roman"/>
          <w:sz w:val="24"/>
          <w:szCs w:val="24"/>
        </w:rPr>
        <w:t>Schoar</w:t>
      </w:r>
      <w:proofErr w:type="spellEnd"/>
      <w:r w:rsidRPr="00FA32BF">
        <w:rPr>
          <w:rFonts w:ascii="Times New Roman" w:hAnsi="Times New Roman" w:cs="Times New Roman"/>
          <w:sz w:val="24"/>
          <w:szCs w:val="24"/>
        </w:rPr>
        <w:t xml:space="preserve">, A. (2014). Keeping it simple: Financial literacy and rules of thumb. American Economic Journal: Applied Economics, 6(2), 1-31. </w:t>
      </w:r>
    </w:p>
    <w:p w14:paraId="521260B5" w14:textId="474AC9C4" w:rsidR="003814EC" w:rsidRPr="00AC56BF" w:rsidRDefault="0033738D" w:rsidP="00AC56BF">
      <w:pPr>
        <w:spacing w:after="200"/>
        <w:ind w:left="720" w:hanging="720"/>
        <w:jc w:val="both"/>
        <w:rPr>
          <w:rFonts w:ascii="Times New Roman" w:hAnsi="Times New Roman" w:cs="Times New Roman"/>
          <w:sz w:val="24"/>
          <w:szCs w:val="24"/>
        </w:rPr>
      </w:pPr>
      <w:proofErr w:type="spellStart"/>
      <w:r w:rsidRPr="00FA32BF">
        <w:rPr>
          <w:rFonts w:ascii="Times New Roman" w:hAnsi="Times New Roman" w:cs="Times New Roman"/>
          <w:sz w:val="24"/>
          <w:szCs w:val="24"/>
        </w:rPr>
        <w:t>Iwatsubo</w:t>
      </w:r>
      <w:proofErr w:type="spellEnd"/>
      <w:r w:rsidRPr="00FA32BF">
        <w:rPr>
          <w:rFonts w:ascii="Times New Roman" w:hAnsi="Times New Roman" w:cs="Times New Roman"/>
          <w:sz w:val="24"/>
          <w:szCs w:val="24"/>
        </w:rPr>
        <w:t>, K., &amp; Brophy, D. (2017). Financing small and medium enterprises with trade finance. ADB Briefs, (79).</w:t>
      </w:r>
      <w:bookmarkStart w:id="1" w:name="_GoBack"/>
      <w:bookmarkEnd w:id="1"/>
    </w:p>
    <w:sectPr w:rsidR="003814EC" w:rsidRPr="00AC56BF" w:rsidSect="00EB74B0">
      <w:headerReference w:type="default" r:id="rId10"/>
      <w:footerReference w:type="default" r:id="rId11"/>
      <w:pgSz w:w="11909" w:h="16834" w:code="9"/>
      <w:pgMar w:top="1440" w:right="1440" w:bottom="1440" w:left="1440"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5E92" w14:textId="77777777" w:rsidR="007F03EC" w:rsidRDefault="007F03EC" w:rsidP="00CF026F">
      <w:pPr>
        <w:spacing w:after="0" w:line="240" w:lineRule="auto"/>
      </w:pPr>
      <w:r>
        <w:separator/>
      </w:r>
    </w:p>
  </w:endnote>
  <w:endnote w:type="continuationSeparator" w:id="0">
    <w:p w14:paraId="342BE758" w14:textId="77777777" w:rsidR="007F03EC" w:rsidRDefault="007F03EC" w:rsidP="00CF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CF026F" w:rsidRPr="00B36852" w14:paraId="1551FCEE" w14:textId="77777777" w:rsidTr="0021311A">
      <w:trPr>
        <w:trHeight w:val="341"/>
      </w:trPr>
      <w:tc>
        <w:tcPr>
          <w:tcW w:w="500" w:type="pct"/>
          <w:tcBorders>
            <w:top w:val="single" w:sz="4" w:space="0" w:color="943634"/>
          </w:tcBorders>
          <w:shd w:val="clear" w:color="auto" w:fill="943634"/>
        </w:tcPr>
        <w:p w14:paraId="713D7707" w14:textId="77777777" w:rsidR="00CF026F" w:rsidRPr="00B36852" w:rsidRDefault="00CF026F" w:rsidP="00CF026F">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5E0C34C9" w14:textId="77777777" w:rsidR="00CF026F" w:rsidRPr="00B36852" w:rsidRDefault="00CF026F" w:rsidP="00CF026F">
          <w:pPr>
            <w:widowControl w:val="0"/>
            <w:spacing w:after="0"/>
            <w:jc w:val="center"/>
            <w:rPr>
              <w:b/>
              <w:bCs/>
              <w:sz w:val="26"/>
              <w:szCs w:val="26"/>
              <w:lang w:val="en-IN" w:bidi="en-US"/>
            </w:rPr>
          </w:pPr>
        </w:p>
      </w:tc>
    </w:tr>
  </w:tbl>
  <w:p w14:paraId="0560FE3F" w14:textId="77777777" w:rsidR="00CF026F" w:rsidRDefault="00CF0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660F" w14:textId="77777777" w:rsidR="007F03EC" w:rsidRDefault="007F03EC" w:rsidP="00CF026F">
      <w:pPr>
        <w:spacing w:after="0" w:line="240" w:lineRule="auto"/>
      </w:pPr>
      <w:r>
        <w:separator/>
      </w:r>
    </w:p>
  </w:footnote>
  <w:footnote w:type="continuationSeparator" w:id="0">
    <w:p w14:paraId="579FB31C" w14:textId="77777777" w:rsidR="007F03EC" w:rsidRDefault="007F03EC" w:rsidP="00CF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CF026F" w:rsidRPr="00B36852" w14:paraId="0E305AAE" w14:textId="77777777" w:rsidTr="0021311A">
      <w:trPr>
        <w:trHeight w:val="918"/>
      </w:trPr>
      <w:tc>
        <w:tcPr>
          <w:tcW w:w="3742" w:type="pct"/>
          <w:tcBorders>
            <w:bottom w:val="single" w:sz="4" w:space="0" w:color="auto"/>
          </w:tcBorders>
          <w:vAlign w:val="bottom"/>
        </w:tcPr>
        <w:p w14:paraId="1784C8B4" w14:textId="77777777" w:rsidR="00CF026F" w:rsidRPr="000E5FF3" w:rsidRDefault="00CF026F" w:rsidP="00CF026F">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5C146653" w14:textId="77777777" w:rsidR="00CF026F" w:rsidRPr="00B36852" w:rsidRDefault="00CF026F" w:rsidP="00CF026F">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CF026F" w:rsidRPr="00B36852" w14:paraId="5E36EEEA" w14:textId="77777777" w:rsidTr="0021311A">
            <w:tc>
              <w:tcPr>
                <w:tcW w:w="2288" w:type="dxa"/>
              </w:tcPr>
              <w:p w14:paraId="15A65C31" w14:textId="77777777" w:rsidR="00CF026F" w:rsidRPr="00B36852" w:rsidRDefault="00CF026F" w:rsidP="00CF026F">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2A2B75B4" w14:textId="77777777" w:rsidR="00CF026F" w:rsidRPr="00B36852" w:rsidRDefault="007F03EC" w:rsidP="00CF026F">
                <w:pPr>
                  <w:spacing w:after="0"/>
                  <w:ind w:left="75"/>
                  <w:rPr>
                    <w:rFonts w:eastAsia="Times New Roman" w:cs="Calibri"/>
                    <w:b/>
                    <w:color w:val="000000"/>
                    <w:sz w:val="26"/>
                    <w:szCs w:val="20"/>
                  </w:rPr>
                </w:pPr>
                <w:hyperlink r:id="rId1" w:history="1">
                  <w:r w:rsidR="00CF026F" w:rsidRPr="00A54770">
                    <w:rPr>
                      <w:rStyle w:val="Hyperlink"/>
                      <w:rFonts w:eastAsia="Times New Roman" w:cs="Calibri"/>
                      <w:b/>
                      <w:bCs/>
                      <w:sz w:val="20"/>
                      <w:szCs w:val="24"/>
                    </w:rPr>
                    <w:t>http://www</w:t>
                  </w:r>
                  <w:r w:rsidR="00CF026F" w:rsidRPr="00A54770">
                    <w:rPr>
                      <w:rStyle w:val="Hyperlink"/>
                      <w:rFonts w:eastAsia="Times New Roman"/>
                      <w:sz w:val="20"/>
                      <w:szCs w:val="20"/>
                    </w:rPr>
                    <w:t>.</w:t>
                  </w:r>
                  <w:r w:rsidR="00CF026F" w:rsidRPr="00A54770">
                    <w:rPr>
                      <w:rStyle w:val="Hyperlink"/>
                      <w:rFonts w:eastAsia="Times New Roman" w:cs="Calibri"/>
                      <w:b/>
                      <w:bCs/>
                      <w:sz w:val="20"/>
                      <w:szCs w:val="24"/>
                    </w:rPr>
                    <w:t>ijbems.org</w:t>
                  </w:r>
                </w:hyperlink>
              </w:p>
            </w:tc>
            <w:tc>
              <w:tcPr>
                <w:tcW w:w="1800" w:type="dxa"/>
              </w:tcPr>
              <w:p w14:paraId="604F532E" w14:textId="77777777" w:rsidR="00CF026F" w:rsidRPr="00B36852" w:rsidRDefault="00CF026F" w:rsidP="00CF026F">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7C7873BA" w14:textId="77777777" w:rsidR="00CF026F" w:rsidRPr="00B36852" w:rsidRDefault="00CF026F" w:rsidP="00CF026F">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33FC95EA" w14:textId="77777777" w:rsidR="00CF026F" w:rsidRPr="000E5FF3" w:rsidRDefault="00CF026F" w:rsidP="00CF026F">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VOL.</w:t>
          </w:r>
          <w:r w:rsidR="00247ED1">
            <w:rPr>
              <w:rFonts w:ascii="Exotc350 Bd BT" w:hAnsi="Exotc350 Bd BT"/>
              <w:bCs/>
              <w:color w:val="FFFFFF"/>
              <w:sz w:val="24"/>
              <w:szCs w:val="24"/>
            </w:rPr>
            <w:t>8</w:t>
          </w:r>
          <w:r w:rsidRPr="000E5FF3">
            <w:rPr>
              <w:rFonts w:ascii="Exotc350 Bd BT" w:hAnsi="Exotc350 Bd BT"/>
              <w:bCs/>
              <w:color w:val="FFFFFF"/>
              <w:sz w:val="24"/>
              <w:szCs w:val="24"/>
            </w:rPr>
            <w:t xml:space="preserve">. ISSUE 1. </w:t>
          </w:r>
        </w:p>
        <w:p w14:paraId="7C1008D9" w14:textId="77777777" w:rsidR="00CF026F" w:rsidRPr="000E5FF3" w:rsidRDefault="00CF026F" w:rsidP="00CF026F">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sidR="00247ED1">
            <w:rPr>
              <w:rFonts w:ascii="Exotc350 Bd BT" w:hAnsi="Exotc350 Bd BT"/>
              <w:bCs/>
              <w:color w:val="FFFFFF"/>
              <w:sz w:val="24"/>
              <w:szCs w:val="24"/>
            </w:rPr>
            <w:t>AUGUST</w:t>
          </w:r>
          <w:r w:rsidRPr="000E5FF3">
            <w:rPr>
              <w:rFonts w:ascii="Exotc350 Bd BT" w:hAnsi="Exotc350 Bd BT"/>
              <w:bCs/>
              <w:color w:val="FFFFFF"/>
              <w:sz w:val="24"/>
              <w:szCs w:val="24"/>
            </w:rPr>
            <w:t>, 202</w:t>
          </w:r>
          <w:r w:rsidR="000B495B">
            <w:rPr>
              <w:rFonts w:ascii="Exotc350 Bd BT" w:hAnsi="Exotc350 Bd BT"/>
              <w:bCs/>
              <w:color w:val="FFFFFF"/>
              <w:sz w:val="24"/>
              <w:szCs w:val="24"/>
            </w:rPr>
            <w:t>3</w:t>
          </w:r>
          <w:r w:rsidRPr="000E5FF3">
            <w:rPr>
              <w:rFonts w:ascii="Exotc350 Bd BT" w:hAnsi="Exotc350 Bd BT"/>
              <w:bCs/>
              <w:color w:val="FFFFFF"/>
              <w:sz w:val="24"/>
              <w:szCs w:val="24"/>
            </w:rPr>
            <w:t>)</w:t>
          </w:r>
        </w:p>
      </w:tc>
    </w:tr>
  </w:tbl>
  <w:p w14:paraId="701383C6" w14:textId="77777777" w:rsidR="00CF026F" w:rsidRPr="00C415BC" w:rsidRDefault="00CF026F" w:rsidP="00CF026F">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A"/>
    <w:multiLevelType w:val="hybridMultilevel"/>
    <w:tmpl w:val="65A01E98"/>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12"/>
    <w:multiLevelType w:val="hybridMultilevel"/>
    <w:tmpl w:val="C42C4E26"/>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34B727A"/>
    <w:multiLevelType w:val="hybridMultilevel"/>
    <w:tmpl w:val="10D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92329"/>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028BD"/>
    <w:multiLevelType w:val="hybridMultilevel"/>
    <w:tmpl w:val="7728A8AE"/>
    <w:lvl w:ilvl="0" w:tplc="04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145D3"/>
    <w:multiLevelType w:val="hybridMultilevel"/>
    <w:tmpl w:val="B774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27735"/>
    <w:multiLevelType w:val="hybridMultilevel"/>
    <w:tmpl w:val="C7EC312C"/>
    <w:lvl w:ilvl="0" w:tplc="EB8CE04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26C0F"/>
    <w:multiLevelType w:val="hybridMultilevel"/>
    <w:tmpl w:val="3336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0256BF"/>
    <w:multiLevelType w:val="hybridMultilevel"/>
    <w:tmpl w:val="538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286364B"/>
    <w:multiLevelType w:val="hybridMultilevel"/>
    <w:tmpl w:val="BC00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492F5D"/>
    <w:multiLevelType w:val="hybridMultilevel"/>
    <w:tmpl w:val="D4F69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D6982"/>
    <w:multiLevelType w:val="multilevel"/>
    <w:tmpl w:val="BF721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D5615F"/>
    <w:multiLevelType w:val="hybridMultilevel"/>
    <w:tmpl w:val="64B8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085841"/>
    <w:multiLevelType w:val="hybridMultilevel"/>
    <w:tmpl w:val="7C4E22DA"/>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8" w15:restartNumberingAfterBreak="0">
    <w:nsid w:val="7F424CB1"/>
    <w:multiLevelType w:val="multilevel"/>
    <w:tmpl w:val="C61837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5"/>
  </w:num>
  <w:num w:numId="4">
    <w:abstractNumId w:val="18"/>
  </w:num>
  <w:num w:numId="5">
    <w:abstractNumId w:val="8"/>
  </w:num>
  <w:num w:numId="6">
    <w:abstractNumId w:val="15"/>
  </w:num>
  <w:num w:numId="7">
    <w:abstractNumId w:val="19"/>
  </w:num>
  <w:num w:numId="8">
    <w:abstractNumId w:val="22"/>
  </w:num>
  <w:num w:numId="9">
    <w:abstractNumId w:val="25"/>
  </w:num>
  <w:num w:numId="10">
    <w:abstractNumId w:val="7"/>
  </w:num>
  <w:num w:numId="11">
    <w:abstractNumId w:val="10"/>
  </w:num>
  <w:num w:numId="12">
    <w:abstractNumId w:val="13"/>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9"/>
  </w:num>
  <w:num w:numId="23">
    <w:abstractNumId w:val="20"/>
  </w:num>
  <w:num w:numId="24">
    <w:abstractNumId w:val="24"/>
  </w:num>
  <w:num w:numId="25">
    <w:abstractNumId w:val="28"/>
  </w:num>
  <w:num w:numId="26">
    <w:abstractNumId w:val="11"/>
  </w:num>
  <w:num w:numId="27">
    <w:abstractNumId w:val="16"/>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002432"/>
    <w:rsid w:val="000828F4"/>
    <w:rsid w:val="000A28D0"/>
    <w:rsid w:val="000B495B"/>
    <w:rsid w:val="000B7D87"/>
    <w:rsid w:val="000C5165"/>
    <w:rsid w:val="000E7D49"/>
    <w:rsid w:val="00114203"/>
    <w:rsid w:val="00114DD4"/>
    <w:rsid w:val="001315A7"/>
    <w:rsid w:val="00156607"/>
    <w:rsid w:val="00180F37"/>
    <w:rsid w:val="001A6B11"/>
    <w:rsid w:val="00210348"/>
    <w:rsid w:val="0023042A"/>
    <w:rsid w:val="00231EEC"/>
    <w:rsid w:val="0023318A"/>
    <w:rsid w:val="00236254"/>
    <w:rsid w:val="00247ED1"/>
    <w:rsid w:val="00255E8C"/>
    <w:rsid w:val="002650B8"/>
    <w:rsid w:val="002B1978"/>
    <w:rsid w:val="002C1814"/>
    <w:rsid w:val="002D61EC"/>
    <w:rsid w:val="002E052F"/>
    <w:rsid w:val="00305DCD"/>
    <w:rsid w:val="0033738D"/>
    <w:rsid w:val="00361F6C"/>
    <w:rsid w:val="00372F95"/>
    <w:rsid w:val="003814EC"/>
    <w:rsid w:val="003D1234"/>
    <w:rsid w:val="003E091E"/>
    <w:rsid w:val="003F24C2"/>
    <w:rsid w:val="004014C9"/>
    <w:rsid w:val="0040437E"/>
    <w:rsid w:val="00412B3F"/>
    <w:rsid w:val="00416D9F"/>
    <w:rsid w:val="00466260"/>
    <w:rsid w:val="004A1FCD"/>
    <w:rsid w:val="00510B23"/>
    <w:rsid w:val="00515D05"/>
    <w:rsid w:val="00520251"/>
    <w:rsid w:val="0054623A"/>
    <w:rsid w:val="0055325F"/>
    <w:rsid w:val="005659AA"/>
    <w:rsid w:val="00592BB9"/>
    <w:rsid w:val="00683D9A"/>
    <w:rsid w:val="00690EFE"/>
    <w:rsid w:val="006B0480"/>
    <w:rsid w:val="006C3AD4"/>
    <w:rsid w:val="006E6995"/>
    <w:rsid w:val="0070439A"/>
    <w:rsid w:val="00706489"/>
    <w:rsid w:val="0072033D"/>
    <w:rsid w:val="00765152"/>
    <w:rsid w:val="00771C42"/>
    <w:rsid w:val="00774E80"/>
    <w:rsid w:val="007A0CD3"/>
    <w:rsid w:val="007A7815"/>
    <w:rsid w:val="007B1DA5"/>
    <w:rsid w:val="007B73DE"/>
    <w:rsid w:val="007C6E5A"/>
    <w:rsid w:val="007F03EC"/>
    <w:rsid w:val="007F19F8"/>
    <w:rsid w:val="007F1A3D"/>
    <w:rsid w:val="00800D74"/>
    <w:rsid w:val="008072D3"/>
    <w:rsid w:val="00810337"/>
    <w:rsid w:val="0082270E"/>
    <w:rsid w:val="008432FD"/>
    <w:rsid w:val="00871A61"/>
    <w:rsid w:val="008811C0"/>
    <w:rsid w:val="008847B9"/>
    <w:rsid w:val="008A7524"/>
    <w:rsid w:val="008F6D41"/>
    <w:rsid w:val="009508A5"/>
    <w:rsid w:val="009764B4"/>
    <w:rsid w:val="009903CC"/>
    <w:rsid w:val="009A09DC"/>
    <w:rsid w:val="009A2514"/>
    <w:rsid w:val="009B36C7"/>
    <w:rsid w:val="009E105B"/>
    <w:rsid w:val="009E2BAA"/>
    <w:rsid w:val="00A33CFD"/>
    <w:rsid w:val="00A503ED"/>
    <w:rsid w:val="00A83257"/>
    <w:rsid w:val="00A8513F"/>
    <w:rsid w:val="00A9313B"/>
    <w:rsid w:val="00AA5846"/>
    <w:rsid w:val="00AC3CF8"/>
    <w:rsid w:val="00AC56BF"/>
    <w:rsid w:val="00B34FC5"/>
    <w:rsid w:val="00B51F9B"/>
    <w:rsid w:val="00B8701B"/>
    <w:rsid w:val="00BA6A89"/>
    <w:rsid w:val="00BB6BE7"/>
    <w:rsid w:val="00BE5637"/>
    <w:rsid w:val="00BE61CC"/>
    <w:rsid w:val="00BE6354"/>
    <w:rsid w:val="00BF1F1E"/>
    <w:rsid w:val="00BF496B"/>
    <w:rsid w:val="00BF6184"/>
    <w:rsid w:val="00C009D6"/>
    <w:rsid w:val="00C14218"/>
    <w:rsid w:val="00C255F6"/>
    <w:rsid w:val="00CF026F"/>
    <w:rsid w:val="00CF2F55"/>
    <w:rsid w:val="00D518B1"/>
    <w:rsid w:val="00D5359E"/>
    <w:rsid w:val="00D56560"/>
    <w:rsid w:val="00D65F7F"/>
    <w:rsid w:val="00DA1068"/>
    <w:rsid w:val="00DB0C4F"/>
    <w:rsid w:val="00DD4644"/>
    <w:rsid w:val="00E41C65"/>
    <w:rsid w:val="00E57DBA"/>
    <w:rsid w:val="00E64922"/>
    <w:rsid w:val="00E73097"/>
    <w:rsid w:val="00E87725"/>
    <w:rsid w:val="00E91872"/>
    <w:rsid w:val="00EB6EBA"/>
    <w:rsid w:val="00EB74B0"/>
    <w:rsid w:val="00ED5ABD"/>
    <w:rsid w:val="00F07FAE"/>
    <w:rsid w:val="00F32FE0"/>
    <w:rsid w:val="00F7073B"/>
    <w:rsid w:val="00F93E0B"/>
    <w:rsid w:val="00FA15A4"/>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08CD3"/>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uiPriority w:val="34"/>
    <w:qFormat/>
    <w:rsid w:val="003814EC"/>
    <w:rPr>
      <w:kern w:val="2"/>
      <w14:ligatures w14:val="standardContextual"/>
    </w:rPr>
  </w:style>
  <w:style w:type="paragraph" w:styleId="Header">
    <w:name w:val="header"/>
    <w:basedOn w:val="Normal"/>
    <w:link w:val="HeaderChar"/>
    <w:uiPriority w:val="99"/>
    <w:unhideWhenUsed/>
    <w:rsid w:val="00CF0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6F"/>
  </w:style>
  <w:style w:type="paragraph" w:styleId="Footer">
    <w:name w:val="footer"/>
    <w:basedOn w:val="Normal"/>
    <w:link w:val="FooterChar"/>
    <w:uiPriority w:val="99"/>
    <w:unhideWhenUsed/>
    <w:rsid w:val="00CF0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6F"/>
  </w:style>
  <w:style w:type="paragraph" w:customStyle="1" w:styleId="msolistparagraph0">
    <w:name w:val="msolistparagraph"/>
    <w:basedOn w:val="Normal"/>
    <w:rsid w:val="00BE5637"/>
    <w:pPr>
      <w:spacing w:after="200" w:line="276" w:lineRule="auto"/>
      <w:ind w:left="720"/>
      <w:contextualSpacing/>
    </w:pPr>
    <w:rPr>
      <w:rFonts w:ascii="Calibri" w:eastAsia="Calibri" w:hAnsi="Calibri" w:cs="Times New Roman"/>
    </w:rPr>
  </w:style>
  <w:style w:type="paragraph" w:customStyle="1" w:styleId="msonormalcxspmiddle">
    <w:name w:val="msonormalcxspmiddle"/>
    <w:basedOn w:val="Normal"/>
    <w:rsid w:val="00BE56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E5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Text">
    <w:name w:val="0 Text"/>
    <w:rsid w:val="00BE5637"/>
    <w:rPr>
      <w:i/>
      <w:iCs/>
    </w:rPr>
  </w:style>
  <w:style w:type="character" w:styleId="UnresolvedMention">
    <w:name w:val="Unresolved Mention"/>
    <w:basedOn w:val="DefaultParagraphFont"/>
    <w:uiPriority w:val="99"/>
    <w:semiHidden/>
    <w:unhideWhenUsed/>
    <w:rsid w:val="00BE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xternal/pubs/ft/fandd/1998/03/pdf/gra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angakaninyene202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uments.worldbank.org/curated/en/662981468780696305/Poland-Beyond-transition-the-environmental-agend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7548</Words>
  <Characters>43028</Characters>
  <Application>Microsoft Office Word</Application>
  <DocSecurity>0</DocSecurity>
  <Lines>358</Lines>
  <Paragraphs>100</Paragraphs>
  <ScaleCrop>false</ScaleCrop>
  <Company/>
  <LinksUpToDate>false</LinksUpToDate>
  <CharactersWithSpaces>50476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5</cp:revision>
  <cp:lastPrinted>2024-03-08T14:56:00Z</cp:lastPrinted>
  <dcterms:created xsi:type="dcterms:W3CDTF">2024-03-11T15:39:00Z</dcterms:created>
  <dcterms:modified xsi:type="dcterms:W3CDTF">2024-03-11T15:40:00Z</dcterms:modified>
</cp:coreProperties>
</file>