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83" w:rsidRPr="001F1D83" w:rsidRDefault="001F1D83" w:rsidP="001F1D83">
      <w:pPr>
        <w:spacing w:line="240" w:lineRule="auto"/>
        <w:jc w:val="center"/>
        <w:rPr>
          <w:rFonts w:ascii="Times New Roman" w:hAnsi="Times New Roman" w:cs="Times New Roman"/>
          <w:b/>
          <w:color w:val="000000"/>
          <w:sz w:val="24"/>
          <w:szCs w:val="24"/>
        </w:rPr>
      </w:pPr>
      <w:r w:rsidRPr="001F1D83">
        <w:rPr>
          <w:rFonts w:ascii="Times New Roman" w:hAnsi="Times New Roman" w:cs="Times New Roman"/>
          <w:b/>
          <w:color w:val="000000"/>
          <w:sz w:val="24"/>
          <w:szCs w:val="24"/>
        </w:rPr>
        <w:t xml:space="preserve">Effect of Financing </w:t>
      </w:r>
      <w:r w:rsidR="004E1C38">
        <w:rPr>
          <w:rFonts w:ascii="Times New Roman" w:hAnsi="Times New Roman" w:cs="Times New Roman"/>
          <w:b/>
          <w:color w:val="000000"/>
          <w:sz w:val="24"/>
          <w:szCs w:val="24"/>
        </w:rPr>
        <w:t>t</w:t>
      </w:r>
      <w:r w:rsidRPr="001F1D83">
        <w:rPr>
          <w:rFonts w:ascii="Times New Roman" w:hAnsi="Times New Roman" w:cs="Times New Roman"/>
          <w:b/>
          <w:color w:val="000000"/>
          <w:sz w:val="24"/>
          <w:szCs w:val="24"/>
        </w:rPr>
        <w:t xml:space="preserve">o Deposit Ratio (FDR) and of Financing </w:t>
      </w:r>
      <w:proofErr w:type="gramStart"/>
      <w:r w:rsidRPr="001F1D83">
        <w:rPr>
          <w:rFonts w:ascii="Times New Roman" w:hAnsi="Times New Roman" w:cs="Times New Roman"/>
          <w:b/>
          <w:color w:val="000000"/>
          <w:sz w:val="24"/>
          <w:szCs w:val="24"/>
        </w:rPr>
        <w:t>To</w:t>
      </w:r>
      <w:proofErr w:type="gramEnd"/>
      <w:r w:rsidRPr="001F1D83">
        <w:rPr>
          <w:rFonts w:ascii="Times New Roman" w:hAnsi="Times New Roman" w:cs="Times New Roman"/>
          <w:b/>
          <w:color w:val="000000"/>
          <w:sz w:val="24"/>
          <w:szCs w:val="24"/>
        </w:rPr>
        <w:t xml:space="preserve"> Asset Ratio (FAR) Against Non-</w:t>
      </w:r>
      <w:r w:rsidR="004E1C38" w:rsidRPr="001F1D83">
        <w:rPr>
          <w:rFonts w:ascii="Times New Roman" w:hAnsi="Times New Roman" w:cs="Times New Roman"/>
          <w:b/>
          <w:color w:val="000000"/>
          <w:sz w:val="24"/>
          <w:szCs w:val="24"/>
        </w:rPr>
        <w:t>Performing</w:t>
      </w:r>
      <w:r w:rsidRPr="001F1D83">
        <w:rPr>
          <w:rFonts w:ascii="Times New Roman" w:hAnsi="Times New Roman" w:cs="Times New Roman"/>
          <w:b/>
          <w:color w:val="000000"/>
          <w:sz w:val="24"/>
          <w:szCs w:val="24"/>
        </w:rPr>
        <w:t xml:space="preserve"> Financing (NPF) at the Branch Office of Bank Rakyat Indonesia </w:t>
      </w:r>
      <w:proofErr w:type="spellStart"/>
      <w:r w:rsidRPr="001F1D83">
        <w:rPr>
          <w:rFonts w:ascii="Times New Roman" w:hAnsi="Times New Roman" w:cs="Times New Roman"/>
          <w:b/>
          <w:color w:val="000000"/>
          <w:sz w:val="24"/>
          <w:szCs w:val="24"/>
        </w:rPr>
        <w:t>Syariah</w:t>
      </w:r>
      <w:proofErr w:type="spellEnd"/>
      <w:r w:rsidRPr="001F1D83">
        <w:rPr>
          <w:rFonts w:ascii="Times New Roman" w:hAnsi="Times New Roman" w:cs="Times New Roman"/>
          <w:b/>
          <w:color w:val="000000"/>
          <w:sz w:val="24"/>
          <w:szCs w:val="24"/>
        </w:rPr>
        <w:t xml:space="preserve"> Makassar</w:t>
      </w:r>
    </w:p>
    <w:p w:rsidR="001F1D83" w:rsidRPr="001F1D83" w:rsidRDefault="001F1D83" w:rsidP="001F1D83">
      <w:pPr>
        <w:spacing w:line="240" w:lineRule="auto"/>
        <w:jc w:val="center"/>
        <w:rPr>
          <w:rFonts w:ascii="Times New Roman" w:hAnsi="Times New Roman" w:cs="Times New Roman"/>
          <w:b/>
          <w:sz w:val="24"/>
          <w:szCs w:val="24"/>
        </w:rPr>
      </w:pPr>
    </w:p>
    <w:p w:rsidR="001F1D83" w:rsidRPr="001F1D83" w:rsidRDefault="001F1D83" w:rsidP="001F1D83">
      <w:pPr>
        <w:spacing w:after="0" w:line="240" w:lineRule="auto"/>
        <w:jc w:val="center"/>
        <w:rPr>
          <w:rFonts w:ascii="Times New Roman" w:hAnsi="Times New Roman" w:cs="Times New Roman"/>
          <w:b/>
          <w:sz w:val="24"/>
          <w:szCs w:val="24"/>
        </w:rPr>
      </w:pPr>
      <w:proofErr w:type="spellStart"/>
      <w:r w:rsidRPr="001F1D83">
        <w:rPr>
          <w:rFonts w:ascii="Times New Roman" w:hAnsi="Times New Roman" w:cs="Times New Roman"/>
          <w:b/>
          <w:sz w:val="24"/>
          <w:szCs w:val="24"/>
        </w:rPr>
        <w:t>Ela</w:t>
      </w:r>
      <w:proofErr w:type="spellEnd"/>
      <w:r w:rsidRPr="001F1D83">
        <w:rPr>
          <w:rFonts w:ascii="Times New Roman" w:hAnsi="Times New Roman" w:cs="Times New Roman"/>
          <w:b/>
          <w:sz w:val="24"/>
          <w:szCs w:val="24"/>
        </w:rPr>
        <w:t xml:space="preserve"> Elliyana</w:t>
      </w:r>
      <w:r w:rsidRPr="001F1D83">
        <w:rPr>
          <w:rFonts w:ascii="Times New Roman" w:hAnsi="Times New Roman" w:cs="Times New Roman"/>
          <w:b/>
          <w:sz w:val="24"/>
          <w:szCs w:val="24"/>
          <w:vertAlign w:val="superscript"/>
        </w:rPr>
        <w:t>1</w:t>
      </w:r>
      <w:r w:rsidRPr="001F1D83">
        <w:rPr>
          <w:rFonts w:ascii="Times New Roman" w:hAnsi="Times New Roman" w:cs="Times New Roman"/>
          <w:b/>
          <w:sz w:val="24"/>
          <w:szCs w:val="24"/>
        </w:rPr>
        <w:t xml:space="preserve">, </w:t>
      </w:r>
      <w:proofErr w:type="spellStart"/>
      <w:r w:rsidRPr="001F1D83">
        <w:rPr>
          <w:rFonts w:ascii="Times New Roman" w:hAnsi="Times New Roman" w:cs="Times New Roman"/>
          <w:b/>
          <w:sz w:val="24"/>
          <w:szCs w:val="24"/>
        </w:rPr>
        <w:t>Irmah</w:t>
      </w:r>
      <w:proofErr w:type="spellEnd"/>
      <w:r w:rsidRPr="001F1D83">
        <w:rPr>
          <w:rFonts w:ascii="Times New Roman" w:hAnsi="Times New Roman" w:cs="Times New Roman"/>
          <w:b/>
          <w:sz w:val="24"/>
          <w:szCs w:val="24"/>
        </w:rPr>
        <w:t xml:space="preserve"> </w:t>
      </w:r>
      <w:proofErr w:type="spellStart"/>
      <w:r w:rsidRPr="001F1D83">
        <w:rPr>
          <w:rFonts w:ascii="Times New Roman" w:hAnsi="Times New Roman" w:cs="Times New Roman"/>
          <w:b/>
          <w:sz w:val="24"/>
          <w:szCs w:val="24"/>
        </w:rPr>
        <w:t>Halimah</w:t>
      </w:r>
      <w:proofErr w:type="spellEnd"/>
      <w:r w:rsidRPr="001F1D83">
        <w:rPr>
          <w:rFonts w:ascii="Times New Roman" w:hAnsi="Times New Roman" w:cs="Times New Roman"/>
          <w:b/>
          <w:sz w:val="24"/>
          <w:szCs w:val="24"/>
        </w:rPr>
        <w:t xml:space="preserve"> Bachtiar</w:t>
      </w:r>
      <w:r w:rsidRPr="001F1D83">
        <w:rPr>
          <w:rFonts w:ascii="Times New Roman" w:hAnsi="Times New Roman" w:cs="Times New Roman"/>
          <w:b/>
          <w:sz w:val="24"/>
          <w:szCs w:val="24"/>
          <w:vertAlign w:val="superscript"/>
        </w:rPr>
        <w:t>2</w:t>
      </w:r>
      <w:r w:rsidRPr="001F1D83">
        <w:rPr>
          <w:rFonts w:ascii="Times New Roman" w:hAnsi="Times New Roman" w:cs="Times New Roman"/>
          <w:b/>
          <w:sz w:val="24"/>
          <w:szCs w:val="24"/>
        </w:rPr>
        <w:t xml:space="preserve">, Dian </w:t>
      </w:r>
      <w:proofErr w:type="spellStart"/>
      <w:r w:rsidRPr="001F1D83">
        <w:rPr>
          <w:rFonts w:ascii="Times New Roman" w:hAnsi="Times New Roman" w:cs="Times New Roman"/>
          <w:b/>
          <w:sz w:val="24"/>
          <w:szCs w:val="24"/>
        </w:rPr>
        <w:t>Putri</w:t>
      </w:r>
      <w:proofErr w:type="spellEnd"/>
      <w:r w:rsidRPr="001F1D83">
        <w:rPr>
          <w:rFonts w:ascii="Times New Roman" w:hAnsi="Times New Roman" w:cs="Times New Roman"/>
          <w:b/>
          <w:sz w:val="24"/>
          <w:szCs w:val="24"/>
        </w:rPr>
        <w:t xml:space="preserve"> Ramadani</w:t>
      </w:r>
      <w:r w:rsidRPr="001F1D83">
        <w:rPr>
          <w:rFonts w:ascii="Times New Roman" w:hAnsi="Times New Roman" w:cs="Times New Roman"/>
          <w:b/>
          <w:sz w:val="24"/>
          <w:szCs w:val="24"/>
          <w:vertAlign w:val="superscript"/>
        </w:rPr>
        <w:t>3</w:t>
      </w:r>
      <w:r w:rsidRPr="001F1D83">
        <w:rPr>
          <w:rFonts w:ascii="Times New Roman" w:hAnsi="Times New Roman" w:cs="Times New Roman"/>
          <w:b/>
          <w:sz w:val="24"/>
          <w:szCs w:val="24"/>
        </w:rPr>
        <w:t xml:space="preserve"> Ahmed </w:t>
      </w:r>
      <w:proofErr w:type="spellStart"/>
      <w:r w:rsidRPr="001F1D83">
        <w:rPr>
          <w:rFonts w:ascii="Times New Roman" w:hAnsi="Times New Roman" w:cs="Times New Roman"/>
          <w:b/>
          <w:sz w:val="24"/>
          <w:szCs w:val="24"/>
        </w:rPr>
        <w:t>benyahia</w:t>
      </w:r>
      <w:proofErr w:type="spellEnd"/>
      <w:r w:rsidRPr="001F1D83">
        <w:rPr>
          <w:rFonts w:ascii="Times New Roman" w:hAnsi="Times New Roman" w:cs="Times New Roman"/>
          <w:b/>
          <w:sz w:val="24"/>
          <w:szCs w:val="24"/>
        </w:rPr>
        <w:t xml:space="preserve"> Rabia</w:t>
      </w:r>
      <w:r w:rsidRPr="001F1D83">
        <w:rPr>
          <w:rFonts w:ascii="Times New Roman" w:hAnsi="Times New Roman" w:cs="Times New Roman"/>
          <w:b/>
          <w:sz w:val="24"/>
          <w:szCs w:val="24"/>
          <w:vertAlign w:val="superscript"/>
        </w:rPr>
        <w:t>4</w:t>
      </w:r>
    </w:p>
    <w:p w:rsidR="001F1D83" w:rsidRPr="001F1D83" w:rsidRDefault="001F1D83" w:rsidP="001F1D83">
      <w:pPr>
        <w:pStyle w:val="ListParagraph"/>
        <w:spacing w:after="0" w:line="240" w:lineRule="auto"/>
        <w:jc w:val="center"/>
        <w:rPr>
          <w:rFonts w:ascii="Times New Roman" w:hAnsi="Times New Roman" w:cs="Times New Roman"/>
          <w:sz w:val="24"/>
          <w:szCs w:val="24"/>
        </w:rPr>
      </w:pPr>
      <w:r w:rsidRPr="001F1D83">
        <w:rPr>
          <w:rFonts w:ascii="Times New Roman" w:hAnsi="Times New Roman" w:cs="Times New Roman"/>
          <w:sz w:val="24"/>
          <w:szCs w:val="24"/>
          <w:vertAlign w:val="superscript"/>
        </w:rPr>
        <w:t>123</w:t>
      </w:r>
      <w:r w:rsidRPr="001F1D83">
        <w:rPr>
          <w:rFonts w:ascii="Times New Roman" w:hAnsi="Times New Roman" w:cs="Times New Roman"/>
          <w:sz w:val="24"/>
          <w:szCs w:val="24"/>
        </w:rPr>
        <w:t xml:space="preserve">Universitas Indonesia </w:t>
      </w:r>
      <w:proofErr w:type="spellStart"/>
      <w:r w:rsidRPr="001F1D83">
        <w:rPr>
          <w:rFonts w:ascii="Times New Roman" w:hAnsi="Times New Roman" w:cs="Times New Roman"/>
          <w:sz w:val="24"/>
          <w:szCs w:val="24"/>
        </w:rPr>
        <w:t>Timur</w:t>
      </w:r>
      <w:proofErr w:type="spellEnd"/>
      <w:r w:rsidRPr="001F1D83">
        <w:rPr>
          <w:rFonts w:ascii="Times New Roman" w:hAnsi="Times New Roman" w:cs="Times New Roman"/>
          <w:sz w:val="24"/>
          <w:szCs w:val="24"/>
        </w:rPr>
        <w:t>, Makassar, Indonesia</w:t>
      </w:r>
    </w:p>
    <w:p w:rsidR="001F1D83" w:rsidRPr="001F1D83" w:rsidRDefault="001F1D83" w:rsidP="001F1D83">
      <w:pPr>
        <w:pStyle w:val="ListParagraph"/>
        <w:spacing w:after="0" w:line="240" w:lineRule="auto"/>
        <w:jc w:val="center"/>
        <w:rPr>
          <w:rFonts w:ascii="Times New Roman" w:hAnsi="Times New Roman" w:cs="Times New Roman"/>
          <w:sz w:val="24"/>
          <w:szCs w:val="24"/>
        </w:rPr>
      </w:pPr>
      <w:r w:rsidRPr="001F1D83">
        <w:rPr>
          <w:rFonts w:ascii="Times New Roman" w:hAnsi="Times New Roman" w:cs="Times New Roman"/>
          <w:sz w:val="24"/>
          <w:szCs w:val="24"/>
          <w:vertAlign w:val="superscript"/>
        </w:rPr>
        <w:t>3</w:t>
      </w:r>
      <w:r w:rsidRPr="001F1D83">
        <w:rPr>
          <w:rFonts w:ascii="Times New Roman" w:hAnsi="Times New Roman" w:cs="Times New Roman"/>
          <w:sz w:val="24"/>
          <w:szCs w:val="24"/>
        </w:rPr>
        <w:t xml:space="preserve">Djilali </w:t>
      </w:r>
      <w:proofErr w:type="spellStart"/>
      <w:r w:rsidRPr="001F1D83">
        <w:rPr>
          <w:rFonts w:ascii="Times New Roman" w:hAnsi="Times New Roman" w:cs="Times New Roman"/>
          <w:sz w:val="24"/>
          <w:szCs w:val="24"/>
        </w:rPr>
        <w:t>bounaama</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khemis</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miliana</w:t>
      </w:r>
      <w:proofErr w:type="spellEnd"/>
      <w:r w:rsidRPr="001F1D83">
        <w:rPr>
          <w:rFonts w:ascii="Times New Roman" w:hAnsi="Times New Roman" w:cs="Times New Roman"/>
          <w:sz w:val="24"/>
          <w:szCs w:val="24"/>
        </w:rPr>
        <w:t>, Algeria</w:t>
      </w:r>
    </w:p>
    <w:p w:rsidR="001F1D83" w:rsidRPr="001F1D83" w:rsidRDefault="001F1D83" w:rsidP="001F1D83">
      <w:pPr>
        <w:spacing w:after="0" w:line="240" w:lineRule="auto"/>
        <w:ind w:firstLine="720"/>
        <w:jc w:val="center"/>
        <w:rPr>
          <w:sz w:val="24"/>
          <w:szCs w:val="24"/>
        </w:rPr>
      </w:pPr>
      <w:proofErr w:type="gramStart"/>
      <w:r w:rsidRPr="001F1D83">
        <w:rPr>
          <w:rFonts w:ascii="Times New Roman" w:hAnsi="Times New Roman" w:cs="Times New Roman"/>
          <w:sz w:val="24"/>
          <w:szCs w:val="24"/>
        </w:rPr>
        <w:t>Email :</w:t>
      </w:r>
      <w:proofErr w:type="gramEnd"/>
      <w:r w:rsidRPr="001F1D83">
        <w:rPr>
          <w:rFonts w:ascii="Times New Roman" w:hAnsi="Times New Roman" w:cs="Times New Roman"/>
          <w:sz w:val="24"/>
          <w:szCs w:val="24"/>
        </w:rPr>
        <w:t xml:space="preserve"> </w:t>
      </w:r>
      <w:r w:rsidRPr="001F1D83">
        <w:rPr>
          <w:rFonts w:ascii="Times New Roman" w:hAnsi="Times New Roman" w:cs="Times New Roman"/>
          <w:sz w:val="24"/>
          <w:szCs w:val="24"/>
          <w:vertAlign w:val="superscript"/>
        </w:rPr>
        <w:t>1</w:t>
      </w:r>
      <w:hyperlink r:id="rId7" w:history="1">
        <w:r w:rsidRPr="001F1D83">
          <w:rPr>
            <w:rStyle w:val="Hyperlink"/>
            <w:sz w:val="24"/>
            <w:szCs w:val="24"/>
          </w:rPr>
          <w:t>ela.elliyana_0910108204@uit.ac.id</w:t>
        </w:r>
      </w:hyperlink>
      <w:r w:rsidRPr="001F1D83">
        <w:rPr>
          <w:rFonts w:ascii="Times New Roman" w:hAnsi="Times New Roman" w:cs="Times New Roman"/>
          <w:sz w:val="24"/>
          <w:szCs w:val="24"/>
        </w:rPr>
        <w:t xml:space="preserve">, </w:t>
      </w:r>
      <w:hyperlink r:id="rId8" w:history="1">
        <w:r w:rsidRPr="001F1D83">
          <w:rPr>
            <w:rStyle w:val="Hyperlink"/>
            <w:rFonts w:ascii="Times New Roman" w:hAnsi="Times New Roman" w:cs="Times New Roman"/>
            <w:sz w:val="24"/>
            <w:szCs w:val="24"/>
            <w:vertAlign w:val="superscript"/>
          </w:rPr>
          <w:t>2</w:t>
        </w:r>
        <w:r w:rsidRPr="001F1D83">
          <w:rPr>
            <w:rStyle w:val="Hyperlink"/>
            <w:rFonts w:ascii="Times New Roman" w:hAnsi="Times New Roman" w:cs="Times New Roman"/>
            <w:sz w:val="24"/>
            <w:szCs w:val="24"/>
          </w:rPr>
          <w:t>irmahhalimah@gmail.com</w:t>
        </w:r>
      </w:hyperlink>
      <w:r w:rsidRPr="001F1D83">
        <w:rPr>
          <w:rFonts w:ascii="Times New Roman" w:hAnsi="Times New Roman" w:cs="Times New Roman"/>
          <w:sz w:val="24"/>
          <w:szCs w:val="24"/>
        </w:rPr>
        <w:t xml:space="preserve">, </w:t>
      </w:r>
      <w:hyperlink r:id="rId9" w:history="1">
        <w:r w:rsidRPr="001F1D83">
          <w:rPr>
            <w:rStyle w:val="Hyperlink"/>
            <w:rFonts w:ascii="Times New Roman" w:hAnsi="Times New Roman" w:cs="Times New Roman"/>
            <w:sz w:val="24"/>
            <w:szCs w:val="24"/>
            <w:vertAlign w:val="superscript"/>
          </w:rPr>
          <w:t>3</w:t>
        </w:r>
        <w:r w:rsidRPr="001F1D83">
          <w:rPr>
            <w:rStyle w:val="Hyperlink"/>
            <w:rFonts w:ascii="Times New Roman" w:hAnsi="Times New Roman" w:cs="Times New Roman"/>
            <w:sz w:val="24"/>
            <w:szCs w:val="24"/>
          </w:rPr>
          <w:t>putrinoor@gmail.com</w:t>
        </w:r>
      </w:hyperlink>
      <w:r w:rsidRPr="001F1D83">
        <w:rPr>
          <w:rFonts w:ascii="Times New Roman" w:hAnsi="Times New Roman" w:cs="Times New Roman"/>
          <w:sz w:val="24"/>
          <w:szCs w:val="24"/>
        </w:rPr>
        <w:t xml:space="preserve">, </w:t>
      </w:r>
      <w:hyperlink r:id="rId10" w:history="1">
        <w:r w:rsidRPr="001F1D83">
          <w:rPr>
            <w:rStyle w:val="Hyperlink"/>
            <w:rFonts w:ascii="Times New Roman" w:hAnsi="Times New Roman" w:cs="Times New Roman"/>
            <w:sz w:val="24"/>
            <w:szCs w:val="24"/>
            <w:vertAlign w:val="superscript"/>
          </w:rPr>
          <w:t>4</w:t>
        </w:r>
        <w:r w:rsidRPr="001F1D83">
          <w:rPr>
            <w:rStyle w:val="Hyperlink"/>
            <w:rFonts w:ascii="Times New Roman" w:hAnsi="Times New Roman" w:cs="Times New Roman"/>
            <w:sz w:val="24"/>
            <w:szCs w:val="24"/>
          </w:rPr>
          <w:t>rabiebenyahia33@yahoo.com</w:t>
        </w:r>
      </w:hyperlink>
    </w:p>
    <w:p w:rsidR="001F1D83" w:rsidRPr="001F1D83" w:rsidRDefault="001F1D83" w:rsidP="001F1D83">
      <w:pPr>
        <w:pStyle w:val="ListParagraph"/>
        <w:spacing w:after="0" w:line="240" w:lineRule="auto"/>
        <w:jc w:val="center"/>
        <w:rPr>
          <w:rFonts w:ascii="Times New Roman" w:hAnsi="Times New Roman" w:cs="Times New Roman"/>
          <w:b/>
          <w:sz w:val="24"/>
          <w:szCs w:val="24"/>
        </w:rPr>
      </w:pPr>
    </w:p>
    <w:p w:rsidR="001F1D83" w:rsidRPr="001F1D83" w:rsidRDefault="001F1D83" w:rsidP="001F1D83">
      <w:pPr>
        <w:spacing w:line="240" w:lineRule="auto"/>
        <w:rPr>
          <w:rFonts w:ascii="Times New Roman" w:hAnsi="Times New Roman" w:cs="Times New Roman"/>
          <w:b/>
          <w:color w:val="000000"/>
          <w:sz w:val="24"/>
          <w:szCs w:val="24"/>
        </w:rPr>
      </w:pPr>
      <w:r w:rsidRPr="001F1D83">
        <w:rPr>
          <w:rFonts w:ascii="Times New Roman" w:hAnsi="Times New Roman" w:cs="Times New Roman"/>
          <w:b/>
          <w:color w:val="000000"/>
          <w:sz w:val="24"/>
          <w:szCs w:val="24"/>
        </w:rPr>
        <w:t>Abstract</w:t>
      </w:r>
    </w:p>
    <w:p w:rsidR="001F1D83" w:rsidRPr="001F1D83" w:rsidRDefault="001F1D83" w:rsidP="001F1D83">
      <w:pPr>
        <w:spacing w:line="240" w:lineRule="auto"/>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This study aims to determine the effect of Financing to Deposit Ratio (FDR) and Financing to Asset Ratio (FAR) to Non </w:t>
      </w:r>
      <w:r w:rsidR="004E1C38" w:rsidRPr="001F1D83">
        <w:rPr>
          <w:rFonts w:ascii="Times New Roman" w:hAnsi="Times New Roman" w:cs="Times New Roman"/>
          <w:color w:val="000000"/>
          <w:sz w:val="24"/>
          <w:szCs w:val="24"/>
        </w:rPr>
        <w:t>Performing</w:t>
      </w:r>
      <w:r w:rsidRPr="001F1D83">
        <w:rPr>
          <w:rFonts w:ascii="Times New Roman" w:hAnsi="Times New Roman" w:cs="Times New Roman"/>
          <w:color w:val="000000"/>
          <w:sz w:val="24"/>
          <w:szCs w:val="24"/>
        </w:rPr>
        <w:t xml:space="preserve"> Financing (NPF) at Bank Rakyat Indonesia </w:t>
      </w:r>
      <w:proofErr w:type="spellStart"/>
      <w:r w:rsidRPr="001F1D83">
        <w:rPr>
          <w:rFonts w:ascii="Times New Roman" w:hAnsi="Times New Roman" w:cs="Times New Roman"/>
          <w:color w:val="000000"/>
          <w:sz w:val="24"/>
          <w:szCs w:val="24"/>
        </w:rPr>
        <w:t>Syariah</w:t>
      </w:r>
      <w:proofErr w:type="spellEnd"/>
      <w:r w:rsidRPr="001F1D83">
        <w:rPr>
          <w:rFonts w:ascii="Times New Roman" w:hAnsi="Times New Roman" w:cs="Times New Roman"/>
          <w:color w:val="000000"/>
          <w:sz w:val="24"/>
          <w:szCs w:val="24"/>
        </w:rPr>
        <w:t xml:space="preserve"> Branch Office Makassar. This type of research is quantitative with a descriptive approach, data normality test and multiple linear regression analysis and using SPSS.22. Research results show that Financing to Deposit Ratio has no effect on the Non Performing Financing (NPF) in Makassar BRI </w:t>
      </w:r>
      <w:proofErr w:type="spellStart"/>
      <w:r w:rsidRPr="001F1D83">
        <w:rPr>
          <w:rFonts w:ascii="Times New Roman" w:hAnsi="Times New Roman" w:cs="Times New Roman"/>
          <w:color w:val="000000"/>
          <w:sz w:val="24"/>
          <w:szCs w:val="24"/>
        </w:rPr>
        <w:t>Syariah</w:t>
      </w:r>
      <w:proofErr w:type="spellEnd"/>
      <w:r w:rsidRPr="001F1D83">
        <w:rPr>
          <w:rFonts w:ascii="Times New Roman" w:hAnsi="Times New Roman" w:cs="Times New Roman"/>
          <w:color w:val="000000"/>
          <w:sz w:val="24"/>
          <w:szCs w:val="24"/>
        </w:rPr>
        <w:t xml:space="preserve"> KC in Makassar because the amount of Financing to Deposit Ratio obtained will be easily handled by Non Performing Financing (NPF). Financing to Asset Ratio (FAR) has no effect on the Non Performing Financing (NPF) of BRI </w:t>
      </w:r>
      <w:proofErr w:type="spellStart"/>
      <w:r w:rsidRPr="001F1D83">
        <w:rPr>
          <w:rFonts w:ascii="Times New Roman" w:hAnsi="Times New Roman" w:cs="Times New Roman"/>
          <w:color w:val="000000"/>
          <w:sz w:val="24"/>
          <w:szCs w:val="24"/>
        </w:rPr>
        <w:t>Syariah</w:t>
      </w:r>
      <w:proofErr w:type="spellEnd"/>
      <w:r w:rsidRPr="001F1D83">
        <w:rPr>
          <w:rFonts w:ascii="Times New Roman" w:hAnsi="Times New Roman" w:cs="Times New Roman"/>
          <w:color w:val="000000"/>
          <w:sz w:val="24"/>
          <w:szCs w:val="24"/>
        </w:rPr>
        <w:t xml:space="preserve"> in Makassar City, because the size of Financing to Asset Ratio will determine the benefits of BRI </w:t>
      </w:r>
      <w:proofErr w:type="spellStart"/>
      <w:r w:rsidRPr="001F1D83">
        <w:rPr>
          <w:rFonts w:ascii="Times New Roman" w:hAnsi="Times New Roman" w:cs="Times New Roman"/>
          <w:color w:val="000000"/>
          <w:sz w:val="24"/>
          <w:szCs w:val="24"/>
        </w:rPr>
        <w:t>Syariah</w:t>
      </w:r>
      <w:proofErr w:type="spellEnd"/>
      <w:r w:rsidRPr="001F1D83">
        <w:rPr>
          <w:rFonts w:ascii="Times New Roman" w:hAnsi="Times New Roman" w:cs="Times New Roman"/>
          <w:color w:val="000000"/>
          <w:sz w:val="24"/>
          <w:szCs w:val="24"/>
        </w:rPr>
        <w:t xml:space="preserve"> Makassar branch of BRI and describe how the bank's ability to meet financing demand with assets owned.</w:t>
      </w:r>
    </w:p>
    <w:p w:rsidR="001F1D83" w:rsidRPr="001F1D83" w:rsidRDefault="001F1D83" w:rsidP="001F1D83">
      <w:pPr>
        <w:spacing w:after="0" w:line="240" w:lineRule="auto"/>
        <w:rPr>
          <w:rFonts w:ascii="Times New Roman" w:hAnsi="Times New Roman" w:cs="Times New Roman"/>
          <w:b/>
          <w:sz w:val="24"/>
          <w:szCs w:val="24"/>
        </w:rPr>
      </w:pPr>
      <w:r w:rsidRPr="001F1D83">
        <w:rPr>
          <w:rFonts w:ascii="Times New Roman" w:hAnsi="Times New Roman" w:cs="Times New Roman"/>
          <w:b/>
          <w:color w:val="000000"/>
          <w:sz w:val="24"/>
          <w:szCs w:val="24"/>
        </w:rPr>
        <w:t xml:space="preserve">Keywords: Financing to Deposit Ratio (FDR), Financing to Asset Ratio (FAR), </w:t>
      </w:r>
      <w:proofErr w:type="gramStart"/>
      <w:r w:rsidRPr="001F1D83">
        <w:rPr>
          <w:rFonts w:ascii="Times New Roman" w:hAnsi="Times New Roman" w:cs="Times New Roman"/>
          <w:b/>
          <w:color w:val="000000"/>
          <w:sz w:val="24"/>
          <w:szCs w:val="24"/>
        </w:rPr>
        <w:t>Non</w:t>
      </w:r>
      <w:proofErr w:type="gramEnd"/>
      <w:r w:rsidRPr="001F1D83">
        <w:rPr>
          <w:rFonts w:ascii="Times New Roman" w:hAnsi="Times New Roman" w:cs="Times New Roman"/>
          <w:b/>
          <w:color w:val="000000"/>
          <w:sz w:val="24"/>
          <w:szCs w:val="24"/>
        </w:rPr>
        <w:t xml:space="preserve"> </w:t>
      </w:r>
      <w:r w:rsidR="004E1C38" w:rsidRPr="001F1D83">
        <w:rPr>
          <w:rFonts w:ascii="Times New Roman" w:hAnsi="Times New Roman" w:cs="Times New Roman"/>
          <w:b/>
          <w:color w:val="000000"/>
          <w:sz w:val="24"/>
          <w:szCs w:val="24"/>
        </w:rPr>
        <w:t>Performing</w:t>
      </w:r>
      <w:r w:rsidRPr="001F1D83">
        <w:rPr>
          <w:rFonts w:ascii="Times New Roman" w:hAnsi="Times New Roman" w:cs="Times New Roman"/>
          <w:b/>
          <w:color w:val="000000"/>
          <w:sz w:val="24"/>
          <w:szCs w:val="24"/>
        </w:rPr>
        <w:t xml:space="preserve"> Financing (NPF).</w:t>
      </w:r>
    </w:p>
    <w:p w:rsidR="001F1D83" w:rsidRPr="001F1D83" w:rsidRDefault="001F1D83" w:rsidP="001F1D83">
      <w:pPr>
        <w:spacing w:after="0" w:line="240" w:lineRule="auto"/>
        <w:rPr>
          <w:rFonts w:ascii="Times New Roman" w:hAnsi="Times New Roman" w:cs="Times New Roman"/>
          <w:b/>
          <w:sz w:val="24"/>
          <w:szCs w:val="24"/>
        </w:rPr>
      </w:pPr>
    </w:p>
    <w:p w:rsidR="001F1D83" w:rsidRPr="001F1D83" w:rsidRDefault="001F1D83" w:rsidP="001F1D83">
      <w:pPr>
        <w:spacing w:after="0" w:line="240" w:lineRule="auto"/>
        <w:jc w:val="both"/>
        <w:rPr>
          <w:rFonts w:ascii="Times New Roman" w:hAnsi="Times New Roman" w:cs="Times New Roman"/>
          <w:color w:val="000000"/>
          <w:sz w:val="24"/>
          <w:szCs w:val="24"/>
        </w:rPr>
      </w:pPr>
      <w:r w:rsidRPr="001F1D83">
        <w:rPr>
          <w:rFonts w:ascii="Times New Roman" w:hAnsi="Times New Roman" w:cs="Times New Roman"/>
          <w:b/>
          <w:color w:val="000000"/>
          <w:sz w:val="24"/>
          <w:szCs w:val="24"/>
        </w:rPr>
        <w:t>Preliminary</w:t>
      </w:r>
    </w:p>
    <w:p w:rsidR="001F1D83" w:rsidRPr="001F1D83" w:rsidRDefault="001F1D83" w:rsidP="001F1D83">
      <w:pPr>
        <w:spacing w:after="0" w:line="240" w:lineRule="auto"/>
        <w:ind w:firstLine="567"/>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Banks as financial institutions certainly carry out their functions to raise funds from the public and then channel it back to those who are in need of funds. It is intended that the bank gets a profit so that the activities at the bank continue to run and can develop. However, in channeling funds the bank is faced with credit risk. Islamic banks, including financial institutions, are also faced with credit risk, called problem financing. This problematic financing has an impact on the costs borne by the bank will be even greater so that the cash flow that occurs at the bank will be disrupted. The term non-performing financing in Islamic banking is "non-performing loans" funding in conventional banking. The term non-performing loans have been commonly used by Indonesian banks as problem translation or non-performing loans (NPLs), which is a term that is also commonly used in international banking. But in </w:t>
      </w:r>
      <w:proofErr w:type="spellStart"/>
      <w:r w:rsidRPr="001F1D83">
        <w:rPr>
          <w:rFonts w:ascii="Times New Roman" w:hAnsi="Times New Roman" w:cs="Times New Roman"/>
          <w:color w:val="000000"/>
          <w:sz w:val="24"/>
          <w:szCs w:val="24"/>
        </w:rPr>
        <w:t>sharia</w:t>
      </w:r>
      <w:proofErr w:type="spellEnd"/>
      <w:r w:rsidRPr="001F1D83">
        <w:rPr>
          <w:rFonts w:ascii="Times New Roman" w:hAnsi="Times New Roman" w:cs="Times New Roman"/>
          <w:color w:val="000000"/>
          <w:sz w:val="24"/>
          <w:szCs w:val="24"/>
        </w:rPr>
        <w:t xml:space="preserve"> banking statistics published by the Directorate of </w:t>
      </w:r>
      <w:proofErr w:type="spellStart"/>
      <w:r w:rsidRPr="001F1D83">
        <w:rPr>
          <w:rFonts w:ascii="Times New Roman" w:hAnsi="Times New Roman" w:cs="Times New Roman"/>
          <w:color w:val="000000"/>
          <w:sz w:val="24"/>
          <w:szCs w:val="24"/>
        </w:rPr>
        <w:t>Sharia</w:t>
      </w:r>
      <w:proofErr w:type="spellEnd"/>
      <w:r w:rsidRPr="001F1D83">
        <w:rPr>
          <w:rFonts w:ascii="Times New Roman" w:hAnsi="Times New Roman" w:cs="Times New Roman"/>
          <w:color w:val="000000"/>
          <w:sz w:val="24"/>
          <w:szCs w:val="24"/>
        </w:rPr>
        <w:t xml:space="preserve"> Banking Bank Indonesia, the term Non-</w:t>
      </w:r>
      <w:r w:rsidR="004E1C38" w:rsidRPr="001F1D83">
        <w:rPr>
          <w:rFonts w:ascii="Times New Roman" w:hAnsi="Times New Roman" w:cs="Times New Roman"/>
          <w:color w:val="000000"/>
          <w:sz w:val="24"/>
          <w:szCs w:val="24"/>
        </w:rPr>
        <w:t>Performing</w:t>
      </w:r>
      <w:r w:rsidRPr="001F1D83">
        <w:rPr>
          <w:rFonts w:ascii="Times New Roman" w:hAnsi="Times New Roman" w:cs="Times New Roman"/>
          <w:color w:val="000000"/>
          <w:sz w:val="24"/>
          <w:szCs w:val="24"/>
        </w:rPr>
        <w:t xml:space="preserve"> Financing (NPF) or </w:t>
      </w:r>
      <w:proofErr w:type="spellStart"/>
      <w:r w:rsidRPr="001F1D83">
        <w:rPr>
          <w:rFonts w:ascii="Times New Roman" w:hAnsi="Times New Roman" w:cs="Times New Roman"/>
          <w:color w:val="000000"/>
          <w:sz w:val="24"/>
          <w:szCs w:val="24"/>
        </w:rPr>
        <w:t>Amwal</w:t>
      </w:r>
      <w:proofErr w:type="spellEnd"/>
      <w:r w:rsidRPr="001F1D83">
        <w:rPr>
          <w:rFonts w:ascii="Times New Roman" w:hAnsi="Times New Roman" w:cs="Times New Roman"/>
          <w:color w:val="000000"/>
          <w:sz w:val="24"/>
          <w:szCs w:val="24"/>
        </w:rPr>
        <w:t xml:space="preserve"> </w:t>
      </w:r>
      <w:proofErr w:type="spellStart"/>
      <w:r w:rsidRPr="001F1D83">
        <w:rPr>
          <w:rFonts w:ascii="Times New Roman" w:hAnsi="Times New Roman" w:cs="Times New Roman"/>
          <w:color w:val="000000"/>
          <w:sz w:val="24"/>
          <w:szCs w:val="24"/>
        </w:rPr>
        <w:t>Mustamirah</w:t>
      </w:r>
      <w:proofErr w:type="spellEnd"/>
      <w:r w:rsidRPr="001F1D83">
        <w:rPr>
          <w:rFonts w:ascii="Times New Roman" w:hAnsi="Times New Roman" w:cs="Times New Roman"/>
          <w:color w:val="000000"/>
          <w:sz w:val="24"/>
          <w:szCs w:val="24"/>
        </w:rPr>
        <w:t xml:space="preserve"> </w:t>
      </w:r>
      <w:proofErr w:type="spellStart"/>
      <w:r w:rsidRPr="001F1D83">
        <w:rPr>
          <w:rFonts w:ascii="Times New Roman" w:hAnsi="Times New Roman" w:cs="Times New Roman"/>
          <w:color w:val="000000"/>
          <w:sz w:val="24"/>
          <w:szCs w:val="24"/>
        </w:rPr>
        <w:t>Ghairu</w:t>
      </w:r>
      <w:proofErr w:type="spellEnd"/>
      <w:r w:rsidRPr="001F1D83">
        <w:rPr>
          <w:rFonts w:ascii="Times New Roman" w:hAnsi="Times New Roman" w:cs="Times New Roman"/>
          <w:color w:val="000000"/>
          <w:sz w:val="24"/>
          <w:szCs w:val="24"/>
        </w:rPr>
        <w:t xml:space="preserve"> </w:t>
      </w:r>
      <w:proofErr w:type="spellStart"/>
      <w:r w:rsidRPr="001F1D83">
        <w:rPr>
          <w:rFonts w:ascii="Times New Roman" w:hAnsi="Times New Roman" w:cs="Times New Roman"/>
          <w:color w:val="000000"/>
          <w:sz w:val="24"/>
          <w:szCs w:val="24"/>
        </w:rPr>
        <w:t>Najihah</w:t>
      </w:r>
      <w:proofErr w:type="spellEnd"/>
      <w:r w:rsidRPr="001F1D83">
        <w:rPr>
          <w:rFonts w:ascii="Times New Roman" w:hAnsi="Times New Roman" w:cs="Times New Roman"/>
          <w:color w:val="000000"/>
          <w:sz w:val="24"/>
          <w:szCs w:val="24"/>
        </w:rPr>
        <w:t xml:space="preserve"> and in the </w:t>
      </w:r>
      <w:proofErr w:type="spellStart"/>
      <w:r w:rsidRPr="001F1D83">
        <w:rPr>
          <w:rFonts w:ascii="Times New Roman" w:hAnsi="Times New Roman" w:cs="Times New Roman"/>
          <w:color w:val="000000"/>
          <w:sz w:val="24"/>
          <w:szCs w:val="24"/>
        </w:rPr>
        <w:t>syariah</w:t>
      </w:r>
      <w:proofErr w:type="spellEnd"/>
      <w:r w:rsidRPr="001F1D83">
        <w:rPr>
          <w:rFonts w:ascii="Times New Roman" w:hAnsi="Times New Roman" w:cs="Times New Roman"/>
          <w:color w:val="000000"/>
          <w:sz w:val="24"/>
          <w:szCs w:val="24"/>
        </w:rPr>
        <w:t xml:space="preserve"> banking dictionary is called </w:t>
      </w:r>
      <w:proofErr w:type="spellStart"/>
      <w:r w:rsidRPr="001F1D83">
        <w:rPr>
          <w:rFonts w:ascii="Times New Roman" w:hAnsi="Times New Roman" w:cs="Times New Roman"/>
          <w:color w:val="000000"/>
          <w:sz w:val="24"/>
          <w:szCs w:val="24"/>
        </w:rPr>
        <w:t>duyumun</w:t>
      </w:r>
      <w:proofErr w:type="spellEnd"/>
      <w:r w:rsidRPr="001F1D83">
        <w:rPr>
          <w:rFonts w:ascii="Times New Roman" w:hAnsi="Times New Roman" w:cs="Times New Roman"/>
          <w:color w:val="000000"/>
          <w:sz w:val="24"/>
          <w:szCs w:val="24"/>
        </w:rPr>
        <w:t xml:space="preserve"> </w:t>
      </w:r>
      <w:proofErr w:type="spellStart"/>
      <w:r w:rsidRPr="001F1D83">
        <w:rPr>
          <w:rFonts w:ascii="Times New Roman" w:hAnsi="Times New Roman" w:cs="Times New Roman"/>
          <w:color w:val="000000"/>
          <w:sz w:val="24"/>
          <w:szCs w:val="24"/>
        </w:rPr>
        <w:t>ma'dumah</w:t>
      </w:r>
      <w:proofErr w:type="spellEnd"/>
      <w:r w:rsidRPr="001F1D83">
        <w:rPr>
          <w:rFonts w:ascii="Times New Roman" w:hAnsi="Times New Roman" w:cs="Times New Roman"/>
          <w:color w:val="000000"/>
          <w:sz w:val="24"/>
          <w:szCs w:val="24"/>
        </w:rPr>
        <w:t>, which is defined as non-smooth financing starting from substandard to non-performing.</w:t>
      </w:r>
    </w:p>
    <w:p w:rsidR="001F1D83" w:rsidRPr="001F1D83" w:rsidRDefault="001F1D83" w:rsidP="001F1D83">
      <w:pPr>
        <w:spacing w:after="0" w:line="240" w:lineRule="auto"/>
        <w:ind w:firstLine="567"/>
        <w:jc w:val="both"/>
        <w:rPr>
          <w:rFonts w:ascii="Times New Roman" w:hAnsi="Times New Roman" w:cs="Times New Roman"/>
          <w:color w:val="000000"/>
          <w:sz w:val="24"/>
          <w:szCs w:val="24"/>
        </w:rPr>
      </w:pPr>
      <w:r w:rsidRPr="001F1D83">
        <w:rPr>
          <w:rFonts w:ascii="Times New Roman" w:hAnsi="Times New Roman" w:cs="Times New Roman"/>
          <w:sz w:val="24"/>
          <w:szCs w:val="24"/>
        </w:rPr>
        <w:t xml:space="preserve">Non-Performing Financing (NPF) has the potential to be a loss for the bank so that the profits obtained will be reduced. , </w:t>
      </w:r>
      <w:proofErr w:type="spellStart"/>
      <w:r w:rsidRPr="001F1D83">
        <w:rPr>
          <w:rFonts w:ascii="Times New Roman" w:hAnsi="Times New Roman" w:cs="Times New Roman"/>
          <w:sz w:val="24"/>
          <w:szCs w:val="24"/>
        </w:rPr>
        <w:t>Yaya</w:t>
      </w:r>
      <w:proofErr w:type="spellEnd"/>
      <w:r w:rsidRPr="001F1D83">
        <w:rPr>
          <w:rFonts w:ascii="Times New Roman" w:hAnsi="Times New Roman" w:cs="Times New Roman"/>
          <w:sz w:val="24"/>
          <w:szCs w:val="24"/>
        </w:rPr>
        <w:t xml:space="preserve"> et al. (2012) state that delaying payments by financing customers on the one hand can disrupt Islamic banks in their operations and on the </w:t>
      </w:r>
      <w:r w:rsidRPr="001F1D83">
        <w:rPr>
          <w:rFonts w:ascii="Times New Roman" w:hAnsi="Times New Roman" w:cs="Times New Roman"/>
          <w:sz w:val="24"/>
          <w:szCs w:val="24"/>
        </w:rPr>
        <w:lastRenderedPageBreak/>
        <w:t>other hand disadvantage savings customers because they do not get the profit share they should receive. Non Performing Financing (NPF) is the risk of possible losses that will arise from the distribution of funds by banks. The high NPF makes the Bank needs to form a reserve for greater problem financing; this will reduce the Bank's income (</w:t>
      </w:r>
      <w:proofErr w:type="spellStart"/>
      <w:r w:rsidRPr="001F1D83">
        <w:rPr>
          <w:rFonts w:ascii="Times New Roman" w:hAnsi="Times New Roman" w:cs="Times New Roman"/>
          <w:sz w:val="24"/>
          <w:szCs w:val="24"/>
        </w:rPr>
        <w:t>Nawawi</w:t>
      </w:r>
      <w:proofErr w:type="spellEnd"/>
      <w:r w:rsidRPr="001F1D83">
        <w:rPr>
          <w:rFonts w:ascii="Times New Roman" w:hAnsi="Times New Roman" w:cs="Times New Roman"/>
          <w:sz w:val="24"/>
          <w:szCs w:val="24"/>
        </w:rPr>
        <w:t>, 2010).</w:t>
      </w:r>
    </w:p>
    <w:p w:rsidR="001F1D83" w:rsidRPr="001F1D83" w:rsidRDefault="001F1D83" w:rsidP="001F1D83">
      <w:pPr>
        <w:spacing w:after="0" w:line="240" w:lineRule="auto"/>
        <w:ind w:firstLine="720"/>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In 2015 data taken from </w:t>
      </w:r>
      <w:proofErr w:type="spellStart"/>
      <w:r w:rsidRPr="001F1D83">
        <w:rPr>
          <w:rFonts w:ascii="Times New Roman" w:hAnsi="Times New Roman" w:cs="Times New Roman"/>
          <w:color w:val="000000"/>
          <w:sz w:val="24"/>
          <w:szCs w:val="24"/>
        </w:rPr>
        <w:t>sharia</w:t>
      </w:r>
      <w:proofErr w:type="spellEnd"/>
      <w:r w:rsidRPr="001F1D83">
        <w:rPr>
          <w:rFonts w:ascii="Times New Roman" w:hAnsi="Times New Roman" w:cs="Times New Roman"/>
          <w:color w:val="000000"/>
          <w:sz w:val="24"/>
          <w:szCs w:val="24"/>
        </w:rPr>
        <w:t xml:space="preserve"> banking statistics on the level of non-performing financing (NPF) in Islamic banks were considered unsatisfactory. This is because the Islamic banking NPF has risen sharply to touch the normal limit set by the Financial Services Authority (OJK) which is 5%. The amount of NPF on Islamic banks in 2015 reached 4.76% precisely in February reaching 5.10%. If it is numbered, the figure reaches 10 trillion rupiah. NPF aims to measure the level of financing problems faced by banks. The higher this ratio shows the quality of Islamic bank financing is getting worse. The NPF ratio used as a reference by Bank Indonesia is a maximum of 5%. If a bank's NPF ratio is higher than 5%, the bank is considered to have a high financing risk (Indonesian Bankers Association, 2014). This is a concern for high-ranking Islamic banks so that Islamic banks need more attention in order to tackle the problematic financing that occurs. The level of problematic financing that occurs can be caused by various factors, such as macroeconomic factors that can cause the level of problematic financing that occurs. Inflation, as well as Gross Domestic Product (GDP) can have an impact, not only to the debtor but also to the creditor as the channeling of funds. Inflation is a general increase in the price of goods in the economy over time. This inflation is likely to also have an impact on the debtor, due to the tendency of rising goods prices but real income still remains or even decreases (</w:t>
      </w:r>
      <w:proofErr w:type="spellStart"/>
      <w:r w:rsidRPr="001F1D83">
        <w:rPr>
          <w:rFonts w:ascii="Times New Roman" w:hAnsi="Times New Roman" w:cs="Times New Roman"/>
          <w:color w:val="000000"/>
          <w:sz w:val="24"/>
          <w:szCs w:val="24"/>
        </w:rPr>
        <w:t>Putri</w:t>
      </w:r>
      <w:proofErr w:type="spellEnd"/>
      <w:r w:rsidRPr="001F1D83">
        <w:rPr>
          <w:rFonts w:ascii="Times New Roman" w:hAnsi="Times New Roman" w:cs="Times New Roman"/>
          <w:color w:val="000000"/>
          <w:sz w:val="24"/>
          <w:szCs w:val="24"/>
        </w:rPr>
        <w:t>, 2013).</w:t>
      </w:r>
    </w:p>
    <w:p w:rsidR="001F1D83" w:rsidRPr="001F1D83" w:rsidRDefault="001F1D83" w:rsidP="001F1D83">
      <w:pPr>
        <w:spacing w:after="0" w:line="240" w:lineRule="auto"/>
        <w:ind w:firstLine="540"/>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In assessing the economic growth of a country, one of them uses Gross Domestic Product or GDP. By looking at the size of GDP in a country it can be seen that how goods or services are produced by a country. If the GDP in a country is good, then people's welfare can be considered better. By channeling funds to the community accompanied by increasing community welfare, financing will tend to generate profits (</w:t>
      </w:r>
      <w:proofErr w:type="spellStart"/>
      <w:r w:rsidRPr="001F1D83">
        <w:rPr>
          <w:rFonts w:ascii="Times New Roman" w:hAnsi="Times New Roman" w:cs="Times New Roman"/>
          <w:color w:val="000000"/>
          <w:sz w:val="24"/>
          <w:szCs w:val="24"/>
        </w:rPr>
        <w:t>Eka</w:t>
      </w:r>
      <w:proofErr w:type="spellEnd"/>
      <w:r w:rsidRPr="001F1D83">
        <w:rPr>
          <w:rFonts w:ascii="Times New Roman" w:hAnsi="Times New Roman" w:cs="Times New Roman"/>
          <w:color w:val="000000"/>
          <w:sz w:val="24"/>
          <w:szCs w:val="24"/>
        </w:rPr>
        <w:t>, 2015).</w:t>
      </w:r>
    </w:p>
    <w:p w:rsidR="001F1D83" w:rsidRPr="001F1D83" w:rsidRDefault="001F1D83" w:rsidP="001F1D83">
      <w:pPr>
        <w:spacing w:after="0" w:line="240" w:lineRule="auto"/>
        <w:ind w:firstLine="567"/>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Problematic financing does not only occur due to errors or failures of the debtor as the borrower of funds, but also because of the banks themselves which can cause problematic financing. When viewed from micro-economic factors there are several factors, namely, bank size, Financing to deposit ratio (FDR), financing to asset ratio (FAR). Basically, the size of the company which is reflected by the total value of the company's assets also has added value in the distribution of bank financing, the greater the size of the company the value of channeling funds to the public will also certainly be even greater.</w:t>
      </w:r>
    </w:p>
    <w:p w:rsidR="001F1D83" w:rsidRPr="001F1D83" w:rsidRDefault="001F1D83" w:rsidP="001F1D83">
      <w:pPr>
        <w:pStyle w:val="ListParagraph"/>
        <w:spacing w:after="0" w:line="240" w:lineRule="auto"/>
        <w:ind w:left="0" w:firstLine="567"/>
        <w:jc w:val="both"/>
        <w:rPr>
          <w:rFonts w:ascii="Times New Roman" w:hAnsi="Times New Roman" w:cs="Times New Roman"/>
          <w:color w:val="000000"/>
          <w:sz w:val="24"/>
          <w:szCs w:val="24"/>
        </w:rPr>
      </w:pPr>
      <w:r w:rsidRPr="001F1D83">
        <w:rPr>
          <w:rFonts w:ascii="Times New Roman" w:hAnsi="Times New Roman" w:cs="Times New Roman"/>
          <w:sz w:val="24"/>
          <w:szCs w:val="24"/>
        </w:rPr>
        <w:t>Financing to Deposit Ratio (FDR) is a comparison between financing channeled by banks and third party funds. This indicator is a measure of the level of banking expansion in channeling financing (</w:t>
      </w:r>
      <w:proofErr w:type="spellStart"/>
      <w:r w:rsidRPr="001F1D83">
        <w:rPr>
          <w:rFonts w:ascii="Times New Roman" w:hAnsi="Times New Roman" w:cs="Times New Roman"/>
          <w:sz w:val="24"/>
          <w:szCs w:val="24"/>
        </w:rPr>
        <w:t>Sipahutar</w:t>
      </w:r>
      <w:proofErr w:type="spellEnd"/>
      <w:r w:rsidRPr="001F1D83">
        <w:rPr>
          <w:rFonts w:ascii="Times New Roman" w:hAnsi="Times New Roman" w:cs="Times New Roman"/>
          <w:sz w:val="24"/>
          <w:szCs w:val="24"/>
        </w:rPr>
        <w:t xml:space="preserve">, 2007). Financing to Deposit Ratio (FDR) is a financial ratio of banking companies that is used to measure the ratio between loans given to the public and funds received by banks. </w:t>
      </w:r>
      <w:proofErr w:type="spellStart"/>
      <w:r w:rsidRPr="001F1D83">
        <w:rPr>
          <w:rFonts w:ascii="Times New Roman" w:hAnsi="Times New Roman" w:cs="Times New Roman"/>
          <w:sz w:val="24"/>
          <w:szCs w:val="24"/>
        </w:rPr>
        <w:t>Soebagio</w:t>
      </w:r>
      <w:proofErr w:type="spellEnd"/>
      <w:r w:rsidRPr="001F1D83">
        <w:rPr>
          <w:rFonts w:ascii="Times New Roman" w:hAnsi="Times New Roman" w:cs="Times New Roman"/>
          <w:sz w:val="24"/>
          <w:szCs w:val="24"/>
        </w:rPr>
        <w:t xml:space="preserve"> (2010) states that if a bank has a healthy FDR (according to Bank Indonesia regulations)</w:t>
      </w:r>
      <w:proofErr w:type="gramStart"/>
      <w:r w:rsidRPr="001F1D83">
        <w:rPr>
          <w:rFonts w:ascii="Times New Roman" w:hAnsi="Times New Roman" w:cs="Times New Roman"/>
          <w:sz w:val="24"/>
          <w:szCs w:val="24"/>
        </w:rPr>
        <w:t>,</w:t>
      </w:r>
      <w:proofErr w:type="gramEnd"/>
      <w:r w:rsidRPr="001F1D83">
        <w:rPr>
          <w:rFonts w:ascii="Times New Roman" w:hAnsi="Times New Roman" w:cs="Times New Roman"/>
          <w:sz w:val="24"/>
          <w:szCs w:val="24"/>
        </w:rPr>
        <w:t xml:space="preserve"> it shows that the available funds can be used optimally in the form of loans as assets that are considered productive. </w:t>
      </w:r>
      <w:proofErr w:type="spellStart"/>
      <w:r w:rsidRPr="001F1D83">
        <w:rPr>
          <w:rFonts w:ascii="Times New Roman" w:hAnsi="Times New Roman" w:cs="Times New Roman"/>
          <w:sz w:val="24"/>
          <w:szCs w:val="24"/>
        </w:rPr>
        <w:t>Diyanti</w:t>
      </w:r>
      <w:proofErr w:type="spellEnd"/>
      <w:r w:rsidRPr="001F1D83">
        <w:rPr>
          <w:rFonts w:ascii="Times New Roman" w:hAnsi="Times New Roman" w:cs="Times New Roman"/>
          <w:sz w:val="24"/>
          <w:szCs w:val="24"/>
        </w:rPr>
        <w:t xml:space="preserve"> (2012) states that if a bank has a healthy FDR in accordance with the provisions of the Indonesian bank, it shows that the amount of funds available can be used optimally in the form of credit as assets that are considered productive that FDR has a negative effect on financing problems in Islamic banks.</w:t>
      </w:r>
    </w:p>
    <w:p w:rsidR="001F1D83" w:rsidRPr="001F1D83" w:rsidRDefault="001F1D83" w:rsidP="001F1D83">
      <w:pPr>
        <w:spacing w:after="0" w:line="240" w:lineRule="auto"/>
        <w:ind w:firstLine="567"/>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By looking at Financing to Deposit Ratio, it can obtain information in the form of a comparison of financing channeled with third party funds received by banks. Third party funds </w:t>
      </w:r>
      <w:proofErr w:type="spellStart"/>
      <w:r w:rsidRPr="001F1D83">
        <w:rPr>
          <w:rFonts w:ascii="Times New Roman" w:hAnsi="Times New Roman" w:cs="Times New Roman"/>
          <w:color w:val="000000"/>
          <w:sz w:val="24"/>
          <w:szCs w:val="24"/>
        </w:rPr>
        <w:t>obtaine</w:t>
      </w:r>
      <w:proofErr w:type="spellEnd"/>
      <w:r w:rsidRPr="001F1D83">
        <w:rPr>
          <w:rFonts w:ascii="Times New Roman" w:hAnsi="Times New Roman" w:cs="Times New Roman"/>
          <w:color w:val="000000"/>
          <w:sz w:val="24"/>
          <w:szCs w:val="24"/>
        </w:rPr>
        <w:t xml:space="preserve"> in the form of current accounts, deposits and savings. The increase in funds </w:t>
      </w:r>
      <w:r w:rsidRPr="001F1D83">
        <w:rPr>
          <w:rFonts w:ascii="Times New Roman" w:hAnsi="Times New Roman" w:cs="Times New Roman"/>
          <w:color w:val="000000"/>
          <w:sz w:val="24"/>
          <w:szCs w:val="24"/>
        </w:rPr>
        <w:lastRenderedPageBreak/>
        <w:t>raised by Islamic banks from the public is not necessarily used to increase the portion of funding provided (</w:t>
      </w:r>
      <w:proofErr w:type="spellStart"/>
      <w:r w:rsidRPr="001F1D83">
        <w:rPr>
          <w:rFonts w:ascii="Times New Roman" w:hAnsi="Times New Roman" w:cs="Times New Roman"/>
          <w:color w:val="000000"/>
          <w:sz w:val="24"/>
          <w:szCs w:val="24"/>
        </w:rPr>
        <w:t>Darma</w:t>
      </w:r>
      <w:proofErr w:type="spellEnd"/>
      <w:r w:rsidRPr="001F1D83">
        <w:rPr>
          <w:rFonts w:ascii="Times New Roman" w:hAnsi="Times New Roman" w:cs="Times New Roman"/>
          <w:color w:val="000000"/>
          <w:sz w:val="24"/>
          <w:szCs w:val="24"/>
        </w:rPr>
        <w:t>, and Rita, 2011).</w:t>
      </w:r>
    </w:p>
    <w:p w:rsidR="001F1D83" w:rsidRPr="001F1D83" w:rsidRDefault="001F1D83" w:rsidP="001F1D83">
      <w:pPr>
        <w:spacing w:after="0" w:line="240" w:lineRule="auto"/>
        <w:ind w:firstLine="567"/>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In calculating asset management using a financing to asset ratio (FAR), to measure the ability of banks to extend credit or funds to debtors with collateral owned assets. Having sufficient assets to finance the bank will make a profit. If the bank is unable to distribute credit while funds </w:t>
      </w:r>
      <w:proofErr w:type="gramStart"/>
      <w:r w:rsidRPr="001F1D83">
        <w:rPr>
          <w:rFonts w:ascii="Times New Roman" w:hAnsi="Times New Roman" w:cs="Times New Roman"/>
          <w:color w:val="000000"/>
          <w:sz w:val="24"/>
          <w:szCs w:val="24"/>
        </w:rPr>
        <w:t>raised</w:t>
      </w:r>
      <w:proofErr w:type="gramEnd"/>
      <w:r w:rsidRPr="001F1D83">
        <w:rPr>
          <w:rFonts w:ascii="Times New Roman" w:hAnsi="Times New Roman" w:cs="Times New Roman"/>
          <w:color w:val="000000"/>
          <w:sz w:val="24"/>
          <w:szCs w:val="24"/>
        </w:rPr>
        <w:t xml:space="preserve"> a lot, will cause losses suffered by the bank (</w:t>
      </w:r>
      <w:proofErr w:type="spellStart"/>
      <w:r w:rsidRPr="001F1D83">
        <w:rPr>
          <w:rFonts w:ascii="Times New Roman" w:hAnsi="Times New Roman" w:cs="Times New Roman"/>
          <w:color w:val="000000"/>
          <w:sz w:val="24"/>
          <w:szCs w:val="24"/>
        </w:rPr>
        <w:t>Pratiwi</w:t>
      </w:r>
      <w:proofErr w:type="spellEnd"/>
      <w:r w:rsidRPr="001F1D83">
        <w:rPr>
          <w:rFonts w:ascii="Times New Roman" w:hAnsi="Times New Roman" w:cs="Times New Roman"/>
          <w:color w:val="000000"/>
          <w:sz w:val="24"/>
          <w:szCs w:val="24"/>
        </w:rPr>
        <w:t>, 2012).</w:t>
      </w:r>
    </w:p>
    <w:p w:rsidR="001F1D83" w:rsidRPr="001F1D83" w:rsidRDefault="001F1D83" w:rsidP="001F1D83">
      <w:pPr>
        <w:spacing w:after="0" w:line="240" w:lineRule="auto"/>
        <w:ind w:firstLine="567"/>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By having sufficient capital, banks will have more ability to bear the risk of loss, especially losses caused by credit risk at the bank. And can provide a sizeable contribution in obtaining profitability because in practice banks experience risks, especially credit risk, therefore the need for capital adequacy to stem losses caused by risky assets.</w:t>
      </w:r>
    </w:p>
    <w:p w:rsidR="001F1D83" w:rsidRPr="001F1D83" w:rsidRDefault="001F1D83" w:rsidP="001F1D83">
      <w:pPr>
        <w:spacing w:after="0" w:line="240" w:lineRule="auto"/>
        <w:ind w:firstLine="567"/>
        <w:jc w:val="both"/>
        <w:rPr>
          <w:rFonts w:ascii="Times New Roman" w:hAnsi="Times New Roman" w:cs="Times New Roman"/>
          <w:sz w:val="24"/>
          <w:szCs w:val="24"/>
        </w:rPr>
      </w:pPr>
      <w:r w:rsidRPr="001F1D83">
        <w:rPr>
          <w:rFonts w:ascii="Times New Roman" w:hAnsi="Times New Roman" w:cs="Times New Roman"/>
          <w:color w:val="000000"/>
          <w:sz w:val="24"/>
          <w:szCs w:val="24"/>
        </w:rPr>
        <w:t>In contrast to financing to asset ratios (FDR), Financing to Assets Ratio (FAR) is the ability of banks to meet the demand for financing with a comparison of the number of assets owned by the bank. The higher the Financing to Asset Ratio (FAR), the lower the level of liquidity because the number of assets needed to finance the credit is greater. The large amount of credit extended will determine bank profits. If the bank is unable to distribute credit while the funds raised are large, it will cause the bank to lose (</w:t>
      </w:r>
      <w:proofErr w:type="spellStart"/>
      <w:r w:rsidRPr="001F1D83">
        <w:rPr>
          <w:rFonts w:ascii="Times New Roman" w:hAnsi="Times New Roman" w:cs="Times New Roman"/>
          <w:color w:val="000000"/>
          <w:sz w:val="24"/>
          <w:szCs w:val="24"/>
        </w:rPr>
        <w:t>Pratiwi</w:t>
      </w:r>
      <w:proofErr w:type="spellEnd"/>
      <w:r w:rsidRPr="001F1D83">
        <w:rPr>
          <w:rFonts w:ascii="Times New Roman" w:hAnsi="Times New Roman" w:cs="Times New Roman"/>
          <w:color w:val="000000"/>
          <w:sz w:val="24"/>
          <w:szCs w:val="24"/>
        </w:rPr>
        <w:t xml:space="preserve">, 2012). </w:t>
      </w:r>
      <w:proofErr w:type="spellStart"/>
      <w:r w:rsidRPr="001F1D83">
        <w:rPr>
          <w:rFonts w:ascii="Times New Roman" w:hAnsi="Times New Roman" w:cs="Times New Roman"/>
          <w:color w:val="000000"/>
          <w:sz w:val="24"/>
          <w:szCs w:val="24"/>
        </w:rPr>
        <w:t>Santosa</w:t>
      </w:r>
      <w:proofErr w:type="spellEnd"/>
      <w:r w:rsidRPr="001F1D83">
        <w:rPr>
          <w:rFonts w:ascii="Times New Roman" w:hAnsi="Times New Roman" w:cs="Times New Roman"/>
          <w:color w:val="000000"/>
          <w:sz w:val="24"/>
          <w:szCs w:val="24"/>
        </w:rPr>
        <w:t xml:space="preserve">, et al (2014) states that FAR has no influence on problem financing in Islamic banks, that FAR has no effect on problem financing variables. Based on our description, formulating the problem, Does Financing to Deposit ratio (FDR) and Financing to Asset Ratio (FAR) affect the Non </w:t>
      </w:r>
      <w:r w:rsidR="004E1C38" w:rsidRPr="001F1D83">
        <w:rPr>
          <w:rFonts w:ascii="Times New Roman" w:hAnsi="Times New Roman" w:cs="Times New Roman"/>
          <w:color w:val="000000"/>
          <w:sz w:val="24"/>
          <w:szCs w:val="24"/>
        </w:rPr>
        <w:t>Performing</w:t>
      </w:r>
      <w:r w:rsidRPr="001F1D83">
        <w:rPr>
          <w:rFonts w:ascii="Times New Roman" w:hAnsi="Times New Roman" w:cs="Times New Roman"/>
          <w:color w:val="000000"/>
          <w:sz w:val="24"/>
          <w:szCs w:val="24"/>
        </w:rPr>
        <w:t xml:space="preserve"> Financing (NPF)?</w:t>
      </w:r>
    </w:p>
    <w:p w:rsidR="001F1D83" w:rsidRPr="001F1D83" w:rsidRDefault="001F1D83" w:rsidP="001F1D83">
      <w:pPr>
        <w:spacing w:line="240" w:lineRule="auto"/>
        <w:rPr>
          <w:rFonts w:ascii="Times New Roman" w:hAnsi="Times New Roman" w:cs="Times New Roman"/>
          <w:b/>
          <w:sz w:val="24"/>
          <w:szCs w:val="24"/>
        </w:rPr>
      </w:pPr>
      <w:r w:rsidRPr="001F1D83">
        <w:rPr>
          <w:rFonts w:ascii="Times New Roman" w:hAnsi="Times New Roman" w:cs="Times New Roman"/>
          <w:b/>
          <w:sz w:val="24"/>
          <w:szCs w:val="24"/>
        </w:rPr>
        <w:t>RESEARCH METHODS</w:t>
      </w:r>
    </w:p>
    <w:p w:rsidR="001F1D83" w:rsidRPr="001F1D83" w:rsidRDefault="001F1D83" w:rsidP="001F1D83">
      <w:pPr>
        <w:spacing w:line="240" w:lineRule="auto"/>
        <w:jc w:val="both"/>
        <w:rPr>
          <w:rFonts w:ascii="Times New Roman" w:hAnsi="Times New Roman" w:cs="Times New Roman"/>
          <w:sz w:val="24"/>
          <w:szCs w:val="24"/>
        </w:rPr>
      </w:pPr>
      <w:r w:rsidRPr="001F1D83">
        <w:rPr>
          <w:rFonts w:ascii="Times New Roman" w:hAnsi="Times New Roman" w:cs="Times New Roman"/>
          <w:sz w:val="24"/>
          <w:szCs w:val="24"/>
        </w:rPr>
        <w:t xml:space="preserve">The study uses a quantitative method with multiple regression analysis model, the data source is the KC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Makassar Financial Statements for the Period of 2015 - 2018 obtained from the Representative Office of the Indonesia Stock Exchange Makassar, this office is located at Jl. DR </w:t>
      </w:r>
      <w:proofErr w:type="spellStart"/>
      <w:r w:rsidRPr="001F1D83">
        <w:rPr>
          <w:rFonts w:ascii="Times New Roman" w:hAnsi="Times New Roman" w:cs="Times New Roman"/>
          <w:sz w:val="24"/>
          <w:szCs w:val="24"/>
        </w:rPr>
        <w:t>Ratulangi</w:t>
      </w:r>
      <w:proofErr w:type="spellEnd"/>
      <w:r w:rsidRPr="001F1D83">
        <w:rPr>
          <w:rFonts w:ascii="Times New Roman" w:hAnsi="Times New Roman" w:cs="Times New Roman"/>
          <w:sz w:val="24"/>
          <w:szCs w:val="24"/>
        </w:rPr>
        <w:t xml:space="preserve"> No.124, </w:t>
      </w:r>
      <w:proofErr w:type="spellStart"/>
      <w:r w:rsidRPr="001F1D83">
        <w:rPr>
          <w:rFonts w:ascii="Times New Roman" w:hAnsi="Times New Roman" w:cs="Times New Roman"/>
          <w:sz w:val="24"/>
          <w:szCs w:val="24"/>
        </w:rPr>
        <w:t>Mariso</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Mariso</w:t>
      </w:r>
      <w:proofErr w:type="spellEnd"/>
      <w:r w:rsidRPr="001F1D83">
        <w:rPr>
          <w:rFonts w:ascii="Times New Roman" w:hAnsi="Times New Roman" w:cs="Times New Roman"/>
          <w:sz w:val="24"/>
          <w:szCs w:val="24"/>
        </w:rPr>
        <w:t xml:space="preserve"> District, Makassar, South Sulawesi.</w:t>
      </w:r>
    </w:p>
    <w:p w:rsidR="001F1D83" w:rsidRPr="001F1D83" w:rsidRDefault="001F1D83" w:rsidP="001F1D83">
      <w:pPr>
        <w:spacing w:line="240" w:lineRule="auto"/>
        <w:rPr>
          <w:rFonts w:ascii="Times New Roman" w:hAnsi="Times New Roman" w:cs="Times New Roman"/>
          <w:b/>
          <w:sz w:val="24"/>
          <w:szCs w:val="24"/>
        </w:rPr>
      </w:pPr>
    </w:p>
    <w:p w:rsidR="001F1D83" w:rsidRPr="001F1D83" w:rsidRDefault="001F1D83" w:rsidP="001F1D83">
      <w:pPr>
        <w:spacing w:line="240" w:lineRule="auto"/>
        <w:rPr>
          <w:rFonts w:ascii="Times New Roman" w:hAnsi="Times New Roman" w:cs="Times New Roman"/>
          <w:b/>
          <w:sz w:val="24"/>
          <w:szCs w:val="24"/>
        </w:rPr>
      </w:pPr>
    </w:p>
    <w:p w:rsidR="001F1D83" w:rsidRPr="001F1D83" w:rsidRDefault="001F1D83" w:rsidP="001F1D83">
      <w:pPr>
        <w:spacing w:line="240" w:lineRule="auto"/>
        <w:rPr>
          <w:rFonts w:ascii="Times New Roman" w:hAnsi="Times New Roman" w:cs="Times New Roman"/>
          <w:b/>
          <w:sz w:val="24"/>
          <w:szCs w:val="24"/>
        </w:rPr>
      </w:pPr>
      <w:r w:rsidRPr="001F1D83">
        <w:rPr>
          <w:rFonts w:ascii="Times New Roman" w:hAnsi="Times New Roman" w:cs="Times New Roman"/>
          <w:b/>
          <w:sz w:val="24"/>
          <w:szCs w:val="24"/>
        </w:rPr>
        <w:t>RESEARCH RESULTS AND DISCUSSION</w:t>
      </w:r>
    </w:p>
    <w:p w:rsidR="001F1D83" w:rsidRPr="001F1D83" w:rsidRDefault="001F1D83" w:rsidP="001F1D83">
      <w:pPr>
        <w:spacing w:line="240" w:lineRule="auto"/>
        <w:jc w:val="center"/>
        <w:rPr>
          <w:rFonts w:ascii="Times New Roman" w:hAnsi="Times New Roman" w:cs="Times New Roman"/>
          <w:sz w:val="24"/>
          <w:szCs w:val="24"/>
        </w:rPr>
      </w:pPr>
      <w:r w:rsidRPr="001F1D83">
        <w:rPr>
          <w:rFonts w:ascii="Times New Roman" w:hAnsi="Times New Roman" w:cs="Times New Roman"/>
          <w:sz w:val="24"/>
          <w:szCs w:val="24"/>
        </w:rPr>
        <w:t>Table .1 Composite Weight of Financing to Deposit Ratio (FDR) Components</w:t>
      </w:r>
    </w:p>
    <w:tbl>
      <w:tblPr>
        <w:tblW w:w="4380" w:type="dxa"/>
        <w:jc w:val="center"/>
        <w:tblInd w:w="-348" w:type="dxa"/>
        <w:tblLook w:val="04A0"/>
      </w:tblPr>
      <w:tblGrid>
        <w:gridCol w:w="2537"/>
        <w:gridCol w:w="1843"/>
      </w:tblGrid>
      <w:tr w:rsidR="001F1D83" w:rsidRPr="001F1D83" w:rsidTr="00107E57">
        <w:trPr>
          <w:trHeight w:val="217"/>
          <w:jc w:val="center"/>
        </w:trPr>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jc w:val="center"/>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Year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Weight (%)</w:t>
            </w:r>
          </w:p>
        </w:tc>
      </w:tr>
      <w:tr w:rsidR="001F1D83" w:rsidRPr="001F1D83" w:rsidTr="00107E57">
        <w:trPr>
          <w:trHeight w:val="217"/>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jc w:val="center"/>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2015</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ind w:left="66"/>
              <w:rPr>
                <w:rFonts w:ascii="Times New Roman" w:hAnsi="Times New Roman" w:cs="Times New Roman"/>
                <w:color w:val="000000"/>
                <w:sz w:val="24"/>
                <w:szCs w:val="24"/>
              </w:rPr>
            </w:pPr>
            <w:r w:rsidRPr="001F1D83">
              <w:rPr>
                <w:rFonts w:ascii="Times New Roman" w:hAnsi="Times New Roman" w:cs="Times New Roman"/>
                <w:color w:val="000000"/>
                <w:sz w:val="24"/>
                <w:szCs w:val="24"/>
              </w:rPr>
              <w:t>Rp.84,78</w:t>
            </w:r>
          </w:p>
        </w:tc>
      </w:tr>
      <w:tr w:rsidR="001F1D83" w:rsidRPr="001F1D83" w:rsidTr="00107E57">
        <w:trPr>
          <w:trHeight w:val="217"/>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jc w:val="center"/>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2016</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ind w:left="66"/>
              <w:rPr>
                <w:rFonts w:ascii="Times New Roman" w:hAnsi="Times New Roman" w:cs="Times New Roman"/>
                <w:color w:val="000000"/>
                <w:sz w:val="24"/>
                <w:szCs w:val="24"/>
              </w:rPr>
            </w:pPr>
            <w:r w:rsidRPr="001F1D83">
              <w:rPr>
                <w:rFonts w:ascii="Times New Roman" w:hAnsi="Times New Roman" w:cs="Times New Roman"/>
                <w:color w:val="000000"/>
                <w:sz w:val="24"/>
                <w:szCs w:val="24"/>
              </w:rPr>
              <w:t>Rp.82,03</w:t>
            </w:r>
          </w:p>
        </w:tc>
      </w:tr>
      <w:tr w:rsidR="001F1D83" w:rsidRPr="001F1D83" w:rsidTr="00107E57">
        <w:trPr>
          <w:trHeight w:val="217"/>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jc w:val="center"/>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2017</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ind w:left="66"/>
              <w:rPr>
                <w:rFonts w:ascii="Times New Roman" w:hAnsi="Times New Roman" w:cs="Times New Roman"/>
                <w:color w:val="000000"/>
                <w:sz w:val="24"/>
                <w:szCs w:val="24"/>
              </w:rPr>
            </w:pPr>
            <w:r w:rsidRPr="001F1D83">
              <w:rPr>
                <w:rFonts w:ascii="Times New Roman" w:hAnsi="Times New Roman" w:cs="Times New Roman"/>
                <w:color w:val="000000"/>
                <w:sz w:val="24"/>
                <w:szCs w:val="24"/>
              </w:rPr>
              <w:t>Rp.72,75</w:t>
            </w:r>
          </w:p>
        </w:tc>
      </w:tr>
      <w:tr w:rsidR="001F1D83" w:rsidRPr="001F1D83" w:rsidTr="00107E57">
        <w:trPr>
          <w:trHeight w:val="35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jc w:val="center"/>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2018</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ind w:left="66"/>
              <w:rPr>
                <w:rFonts w:ascii="Times New Roman" w:hAnsi="Times New Roman" w:cs="Times New Roman"/>
                <w:color w:val="000000"/>
                <w:sz w:val="24"/>
                <w:szCs w:val="24"/>
              </w:rPr>
            </w:pPr>
            <w:r w:rsidRPr="001F1D83">
              <w:rPr>
                <w:rFonts w:ascii="Times New Roman" w:hAnsi="Times New Roman" w:cs="Times New Roman"/>
                <w:color w:val="000000"/>
                <w:sz w:val="24"/>
                <w:szCs w:val="24"/>
              </w:rPr>
              <w:t>Rp.75,74</w:t>
            </w:r>
          </w:p>
        </w:tc>
      </w:tr>
    </w:tbl>
    <w:p w:rsidR="001F1D83" w:rsidRPr="001F1D83" w:rsidRDefault="001F1D83" w:rsidP="001F1D83">
      <w:pPr>
        <w:pStyle w:val="ListParagraph"/>
        <w:spacing w:line="240" w:lineRule="auto"/>
        <w:ind w:left="1854" w:firstLine="306"/>
        <w:jc w:val="both"/>
        <w:rPr>
          <w:rFonts w:ascii="Times New Roman" w:hAnsi="Times New Roman" w:cs="Times New Roman"/>
          <w:sz w:val="24"/>
          <w:szCs w:val="24"/>
        </w:rPr>
      </w:pPr>
      <w:r w:rsidRPr="001F1D83">
        <w:rPr>
          <w:rFonts w:ascii="Times New Roman" w:hAnsi="Times New Roman" w:cs="Times New Roman"/>
          <w:sz w:val="24"/>
          <w:szCs w:val="24"/>
        </w:rPr>
        <w:t>Source, Processed (2019)</w:t>
      </w:r>
    </w:p>
    <w:p w:rsidR="001F1D83" w:rsidRPr="001F1D83" w:rsidRDefault="001F1D83" w:rsidP="001F1D83">
      <w:pPr>
        <w:pStyle w:val="ListParagraph"/>
        <w:spacing w:line="240" w:lineRule="auto"/>
        <w:ind w:left="0" w:firstLine="720"/>
        <w:jc w:val="both"/>
        <w:rPr>
          <w:rFonts w:ascii="Times New Roman" w:hAnsi="Times New Roman" w:cs="Times New Roman"/>
          <w:sz w:val="24"/>
          <w:szCs w:val="24"/>
        </w:rPr>
      </w:pPr>
      <w:r w:rsidRPr="001F1D83">
        <w:rPr>
          <w:rFonts w:ascii="Times New Roman" w:hAnsi="Times New Roman" w:cs="Times New Roman"/>
          <w:sz w:val="24"/>
          <w:szCs w:val="24"/>
        </w:rPr>
        <w:t xml:space="preserve">Based on table 1 it can be seen that the FDR ratio in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KC in 2015 had a ratio of </w:t>
      </w:r>
      <w:proofErr w:type="spellStart"/>
      <w:r w:rsidRPr="001F1D83">
        <w:rPr>
          <w:rFonts w:ascii="Times New Roman" w:hAnsi="Times New Roman" w:cs="Times New Roman"/>
          <w:sz w:val="24"/>
          <w:szCs w:val="24"/>
        </w:rPr>
        <w:t>Rp</w:t>
      </w:r>
      <w:proofErr w:type="spellEnd"/>
      <w:r w:rsidRPr="001F1D83">
        <w:rPr>
          <w:rFonts w:ascii="Times New Roman" w:hAnsi="Times New Roman" w:cs="Times New Roman"/>
          <w:sz w:val="24"/>
          <w:szCs w:val="24"/>
        </w:rPr>
        <w:t xml:space="preserve"> 84.78% while in 2016 the FDR ratio decreased by 2.75% and had a ratio of Rp.82.03% and in 2017 the FDR ratio has decreased again by 9.28% and has a ratio of </w:t>
      </w:r>
      <w:proofErr w:type="spellStart"/>
      <w:r w:rsidRPr="001F1D83">
        <w:rPr>
          <w:rFonts w:ascii="Times New Roman" w:hAnsi="Times New Roman" w:cs="Times New Roman"/>
          <w:sz w:val="24"/>
          <w:szCs w:val="24"/>
        </w:rPr>
        <w:t>Rp</w:t>
      </w:r>
      <w:proofErr w:type="spellEnd"/>
      <w:r w:rsidRPr="001F1D83">
        <w:rPr>
          <w:rFonts w:ascii="Times New Roman" w:hAnsi="Times New Roman" w:cs="Times New Roman"/>
          <w:sz w:val="24"/>
          <w:szCs w:val="24"/>
        </w:rPr>
        <w:t xml:space="preserve">. 72.75% and in 2018 the FDR ratio has increased 3.9% and has a ratio of Rp.75.74%. The higher the Financing to Deposit Ratio or FDR, the lower the Liquidity level because the </w:t>
      </w:r>
      <w:r w:rsidRPr="001F1D83">
        <w:rPr>
          <w:rFonts w:ascii="Times New Roman" w:hAnsi="Times New Roman" w:cs="Times New Roman"/>
          <w:sz w:val="24"/>
          <w:szCs w:val="24"/>
        </w:rPr>
        <w:lastRenderedPageBreak/>
        <w:t>greater the number of assets needed to finance the credit. The large amount of credit extended will determine bank profits.</w:t>
      </w:r>
    </w:p>
    <w:p w:rsidR="001F1D83" w:rsidRPr="001F1D83" w:rsidRDefault="001F1D83" w:rsidP="001F1D83">
      <w:pPr>
        <w:pStyle w:val="ListParagraph"/>
        <w:spacing w:before="240" w:line="240" w:lineRule="auto"/>
        <w:ind w:left="1134"/>
        <w:jc w:val="both"/>
        <w:rPr>
          <w:rFonts w:ascii="Times New Roman" w:hAnsi="Times New Roman" w:cs="Times New Roman"/>
          <w:sz w:val="24"/>
          <w:szCs w:val="24"/>
        </w:rPr>
      </w:pPr>
      <w:r w:rsidRPr="001F1D83">
        <w:rPr>
          <w:rFonts w:ascii="Times New Roman" w:hAnsi="Times New Roman" w:cs="Times New Roman"/>
          <w:noProof/>
          <w:sz w:val="24"/>
          <w:szCs w:val="24"/>
        </w:rPr>
        <w:drawing>
          <wp:inline distT="0" distB="0" distL="0" distR="0">
            <wp:extent cx="3770216" cy="1630018"/>
            <wp:effectExtent l="19050" t="0" r="20734" b="8282"/>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1D83" w:rsidRPr="001F1D83" w:rsidRDefault="001F1D83" w:rsidP="001F1D83">
      <w:pPr>
        <w:tabs>
          <w:tab w:val="left" w:pos="3349"/>
        </w:tabs>
        <w:spacing w:line="240" w:lineRule="auto"/>
        <w:jc w:val="both"/>
        <w:rPr>
          <w:rFonts w:ascii="Times New Roman" w:hAnsi="Times New Roman" w:cs="Times New Roman"/>
          <w:b/>
          <w:sz w:val="24"/>
          <w:szCs w:val="24"/>
        </w:rPr>
      </w:pPr>
      <w:proofErr w:type="gramStart"/>
      <w:r w:rsidRPr="001F1D83">
        <w:rPr>
          <w:rFonts w:ascii="Times New Roman" w:hAnsi="Times New Roman" w:cs="Times New Roman"/>
          <w:b/>
          <w:sz w:val="24"/>
          <w:szCs w:val="24"/>
        </w:rPr>
        <w:t>Figure.1 Composite Weight of Financing to Deposit Ratio (FDR) Components for 2015-2018.</w:t>
      </w:r>
      <w:proofErr w:type="gramEnd"/>
    </w:p>
    <w:p w:rsidR="001F1D83" w:rsidRPr="001F1D83" w:rsidRDefault="001F1D83" w:rsidP="001F1D83">
      <w:pPr>
        <w:tabs>
          <w:tab w:val="left" w:pos="3349"/>
        </w:tabs>
        <w:spacing w:line="240" w:lineRule="auto"/>
        <w:jc w:val="both"/>
        <w:rPr>
          <w:rFonts w:ascii="Times New Roman" w:hAnsi="Times New Roman" w:cs="Times New Roman"/>
          <w:sz w:val="24"/>
          <w:szCs w:val="24"/>
        </w:rPr>
      </w:pPr>
      <w:r w:rsidRPr="001F1D83">
        <w:rPr>
          <w:rFonts w:ascii="Times New Roman" w:hAnsi="Times New Roman" w:cs="Times New Roman"/>
          <w:b/>
          <w:iCs/>
          <w:color w:val="000000"/>
          <w:sz w:val="24"/>
          <w:szCs w:val="24"/>
        </w:rPr>
        <w:t>Financing to Asset Ratio (FAR)</w:t>
      </w:r>
    </w:p>
    <w:p w:rsidR="001F1D83" w:rsidRPr="001F1D83" w:rsidRDefault="001F1D83" w:rsidP="001F1D83">
      <w:pPr>
        <w:pStyle w:val="ListParagraph"/>
        <w:tabs>
          <w:tab w:val="left" w:pos="0"/>
        </w:tabs>
        <w:spacing w:line="240" w:lineRule="auto"/>
        <w:ind w:left="0" w:firstLine="720"/>
        <w:jc w:val="both"/>
        <w:rPr>
          <w:rFonts w:ascii="Times New Roman" w:hAnsi="Times New Roman" w:cs="Times New Roman"/>
          <w:color w:val="000000"/>
          <w:sz w:val="24"/>
          <w:szCs w:val="24"/>
        </w:rPr>
      </w:pPr>
      <w:r w:rsidRPr="001F1D83">
        <w:rPr>
          <w:rFonts w:ascii="Times New Roman" w:hAnsi="Times New Roman" w:cs="Times New Roman"/>
          <w:iCs/>
          <w:color w:val="000000"/>
          <w:sz w:val="24"/>
          <w:szCs w:val="24"/>
        </w:rPr>
        <w:t>Financing to Assets Ratio (FAR) is used to measure the ability of banks to meet financing demand by comparing the number of assets owned by banks. The formula used is:</w:t>
      </w:r>
    </w:p>
    <w:p w:rsidR="001F1D83" w:rsidRPr="001F1D83" w:rsidRDefault="001F1D83" w:rsidP="001F1D83">
      <w:pPr>
        <w:pStyle w:val="Heading1"/>
        <w:ind w:right="-1"/>
        <w:jc w:val="center"/>
        <w:rPr>
          <w:sz w:val="24"/>
          <w:szCs w:val="24"/>
        </w:rPr>
      </w:pPr>
      <w:r w:rsidRPr="001F1D83">
        <w:rPr>
          <w:b w:val="0"/>
          <w:sz w:val="24"/>
          <w:szCs w:val="24"/>
        </w:rPr>
        <w:t>Table .2 Composite Ranking Weight of Financing to Assets Ratio (FAR) Components</w:t>
      </w:r>
    </w:p>
    <w:tbl>
      <w:tblPr>
        <w:tblW w:w="5529" w:type="dxa"/>
        <w:tblInd w:w="1242" w:type="dxa"/>
        <w:tblLook w:val="04A0"/>
      </w:tblPr>
      <w:tblGrid>
        <w:gridCol w:w="3686"/>
        <w:gridCol w:w="1843"/>
      </w:tblGrid>
      <w:tr w:rsidR="001F1D83" w:rsidRPr="001F1D83" w:rsidTr="00107E57">
        <w:trPr>
          <w:trHeight w:val="32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Year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Weight (%)</w:t>
            </w:r>
          </w:p>
        </w:tc>
      </w:tr>
      <w:tr w:rsidR="001F1D83" w:rsidRPr="001F1D83" w:rsidTr="00107E57">
        <w:trPr>
          <w:trHeight w:val="324"/>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2015</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hAnsi="Times New Roman" w:cs="Times New Roman"/>
                <w:color w:val="000000"/>
                <w:sz w:val="24"/>
                <w:szCs w:val="24"/>
              </w:rPr>
            </w:pPr>
            <w:r w:rsidRPr="001F1D83">
              <w:rPr>
                <w:rFonts w:ascii="Times New Roman" w:hAnsi="Times New Roman" w:cs="Times New Roman"/>
                <w:color w:val="000000"/>
                <w:sz w:val="24"/>
                <w:szCs w:val="24"/>
              </w:rPr>
              <w:t>Rp.68,75</w:t>
            </w:r>
          </w:p>
        </w:tc>
      </w:tr>
      <w:tr w:rsidR="001F1D83" w:rsidRPr="001F1D83" w:rsidTr="00107E57">
        <w:trPr>
          <w:trHeight w:val="324"/>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2016</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hAnsi="Times New Roman" w:cs="Times New Roman"/>
                <w:color w:val="000000"/>
                <w:sz w:val="24"/>
                <w:szCs w:val="24"/>
              </w:rPr>
            </w:pPr>
            <w:r w:rsidRPr="001F1D83">
              <w:rPr>
                <w:rFonts w:ascii="Times New Roman" w:hAnsi="Times New Roman" w:cs="Times New Roman"/>
                <w:color w:val="000000"/>
                <w:sz w:val="24"/>
                <w:szCs w:val="24"/>
              </w:rPr>
              <w:t>Rp.65,14</w:t>
            </w:r>
          </w:p>
        </w:tc>
      </w:tr>
      <w:tr w:rsidR="001F1D83" w:rsidRPr="001F1D83" w:rsidTr="00107E57">
        <w:trPr>
          <w:trHeight w:val="324"/>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2017</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hAnsi="Times New Roman" w:cs="Times New Roman"/>
                <w:color w:val="000000"/>
                <w:sz w:val="24"/>
                <w:szCs w:val="24"/>
              </w:rPr>
            </w:pPr>
            <w:r w:rsidRPr="001F1D83">
              <w:rPr>
                <w:rFonts w:ascii="Times New Roman" w:hAnsi="Times New Roman" w:cs="Times New Roman"/>
                <w:color w:val="000000"/>
                <w:sz w:val="24"/>
                <w:szCs w:val="24"/>
              </w:rPr>
              <w:t>Rp.60,27</w:t>
            </w:r>
          </w:p>
        </w:tc>
      </w:tr>
      <w:tr w:rsidR="001F1D83" w:rsidRPr="001F1D83" w:rsidTr="00107E57">
        <w:trPr>
          <w:trHeight w:val="324"/>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2018</w:t>
            </w:r>
          </w:p>
        </w:tc>
        <w:tc>
          <w:tcPr>
            <w:tcW w:w="1843"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hAnsi="Times New Roman" w:cs="Times New Roman"/>
                <w:color w:val="000000"/>
                <w:sz w:val="24"/>
                <w:szCs w:val="24"/>
              </w:rPr>
            </w:pPr>
            <w:r w:rsidRPr="001F1D83">
              <w:rPr>
                <w:rFonts w:ascii="Times New Roman" w:hAnsi="Times New Roman" w:cs="Times New Roman"/>
                <w:color w:val="000000"/>
                <w:sz w:val="24"/>
                <w:szCs w:val="24"/>
              </w:rPr>
              <w:t>Rp.57,66</w:t>
            </w:r>
          </w:p>
        </w:tc>
      </w:tr>
    </w:tbl>
    <w:p w:rsidR="001F1D83" w:rsidRPr="001F1D83" w:rsidRDefault="001F1D83" w:rsidP="001F1D83">
      <w:pPr>
        <w:spacing w:line="240" w:lineRule="auto"/>
        <w:ind w:left="720" w:firstLine="720"/>
        <w:jc w:val="both"/>
        <w:rPr>
          <w:rFonts w:ascii="Times New Roman" w:hAnsi="Times New Roman" w:cs="Times New Roman"/>
          <w:sz w:val="24"/>
          <w:szCs w:val="24"/>
        </w:rPr>
      </w:pPr>
      <w:r w:rsidRPr="001F1D83">
        <w:rPr>
          <w:rFonts w:ascii="Times New Roman" w:hAnsi="Times New Roman" w:cs="Times New Roman"/>
          <w:sz w:val="24"/>
          <w:szCs w:val="24"/>
        </w:rPr>
        <w:t>Source, Processed (2019)</w:t>
      </w:r>
    </w:p>
    <w:p w:rsidR="001F1D83" w:rsidRPr="001F1D83" w:rsidRDefault="001F1D83" w:rsidP="001F1D83">
      <w:pPr>
        <w:spacing w:line="240" w:lineRule="auto"/>
        <w:ind w:firstLine="709"/>
        <w:jc w:val="both"/>
        <w:rPr>
          <w:rFonts w:ascii="Times New Roman" w:hAnsi="Times New Roman" w:cs="Times New Roman"/>
          <w:sz w:val="24"/>
          <w:szCs w:val="24"/>
        </w:rPr>
      </w:pPr>
      <w:r w:rsidRPr="001F1D83">
        <w:rPr>
          <w:rFonts w:ascii="Times New Roman" w:hAnsi="Times New Roman" w:cs="Times New Roman"/>
          <w:sz w:val="24"/>
          <w:szCs w:val="24"/>
        </w:rPr>
        <w:t xml:space="preserve">Viewed from table.2 the FAR ratio in 2015 had a ratio of Rp.68.75% and in 2016 the FAR ratio decreased by 3.61% with a ratio of 65.14% while in 2017 the FAR ratio decreased by 4.87% with a ratio of </w:t>
      </w:r>
      <w:proofErr w:type="spellStart"/>
      <w:r w:rsidRPr="001F1D83">
        <w:rPr>
          <w:rFonts w:ascii="Times New Roman" w:hAnsi="Times New Roman" w:cs="Times New Roman"/>
          <w:sz w:val="24"/>
          <w:szCs w:val="24"/>
        </w:rPr>
        <w:t>Rp</w:t>
      </w:r>
      <w:proofErr w:type="spellEnd"/>
      <w:r w:rsidRPr="001F1D83">
        <w:rPr>
          <w:rFonts w:ascii="Times New Roman" w:hAnsi="Times New Roman" w:cs="Times New Roman"/>
          <w:sz w:val="24"/>
          <w:szCs w:val="24"/>
        </w:rPr>
        <w:t>. 60.27% while in 2018 the FAR ratio decreased again by 2.61% and the ratio was Rp.57.66%. It can be concluded that the FAR ratio has decreased every year. The higher the Financing to Asset Ratio or FAR, it can describe a high level of liquidity; the problematic financing that occurs will be easily overcome, because banks will be able to easily disburse the assets they have. As a bank despite having high problem financing, the bank has a liquidity ratio that is above average so that it can be overcome.</w:t>
      </w:r>
      <w:r w:rsidRPr="001F1D83">
        <w:rPr>
          <w:rFonts w:ascii="Times New Roman" w:hAnsi="Times New Roman" w:cs="Times New Roman"/>
          <w:sz w:val="24"/>
          <w:szCs w:val="24"/>
        </w:rPr>
        <w:tab/>
      </w:r>
    </w:p>
    <w:p w:rsidR="001F1D83" w:rsidRPr="001F1D83" w:rsidRDefault="001F1D83" w:rsidP="001F1D83">
      <w:pPr>
        <w:pStyle w:val="ListParagraph"/>
        <w:spacing w:line="240" w:lineRule="auto"/>
        <w:ind w:left="709"/>
        <w:jc w:val="both"/>
        <w:rPr>
          <w:rFonts w:ascii="Times New Roman" w:hAnsi="Times New Roman" w:cs="Times New Roman"/>
          <w:sz w:val="24"/>
          <w:szCs w:val="24"/>
        </w:rPr>
      </w:pPr>
      <w:r w:rsidRPr="001F1D83">
        <w:rPr>
          <w:rFonts w:ascii="Times New Roman" w:hAnsi="Times New Roman" w:cs="Times New Roman"/>
          <w:noProof/>
          <w:sz w:val="24"/>
          <w:szCs w:val="24"/>
        </w:rPr>
        <w:lastRenderedPageBreak/>
        <w:drawing>
          <wp:inline distT="0" distB="0" distL="0" distR="0">
            <wp:extent cx="4262494" cy="1699708"/>
            <wp:effectExtent l="19050" t="0" r="23756"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1D83" w:rsidRPr="001F1D83" w:rsidRDefault="001F1D83" w:rsidP="001F1D83">
      <w:pPr>
        <w:spacing w:line="240" w:lineRule="auto"/>
        <w:ind w:left="851"/>
        <w:jc w:val="both"/>
        <w:rPr>
          <w:rFonts w:ascii="Times New Roman" w:hAnsi="Times New Roman" w:cs="Times New Roman"/>
          <w:sz w:val="24"/>
          <w:szCs w:val="24"/>
        </w:rPr>
      </w:pPr>
      <w:r w:rsidRPr="001F1D83">
        <w:rPr>
          <w:rFonts w:ascii="Times New Roman" w:hAnsi="Times New Roman" w:cs="Times New Roman"/>
          <w:sz w:val="24"/>
          <w:szCs w:val="24"/>
        </w:rPr>
        <w:t>Figure 2 Weight of Composite Component Financing to Asset Ratio (FAR) 2015-2018.</w:t>
      </w:r>
    </w:p>
    <w:p w:rsidR="001F1D83" w:rsidRPr="001F1D83" w:rsidRDefault="001F1D83" w:rsidP="001F1D83">
      <w:pPr>
        <w:spacing w:line="240" w:lineRule="auto"/>
        <w:jc w:val="both"/>
        <w:rPr>
          <w:rFonts w:ascii="Times New Roman" w:hAnsi="Times New Roman" w:cs="Times New Roman"/>
          <w:b/>
          <w:sz w:val="24"/>
          <w:szCs w:val="24"/>
        </w:rPr>
      </w:pPr>
      <w:r w:rsidRPr="001F1D83">
        <w:rPr>
          <w:rFonts w:ascii="Times New Roman" w:hAnsi="Times New Roman" w:cs="Times New Roman"/>
          <w:b/>
          <w:sz w:val="24"/>
          <w:szCs w:val="24"/>
        </w:rPr>
        <w:t>Problematic Financing Rate (NPF)</w:t>
      </w:r>
    </w:p>
    <w:p w:rsidR="001F1D83" w:rsidRPr="001F1D83" w:rsidRDefault="001F1D83" w:rsidP="001F1D83">
      <w:pPr>
        <w:spacing w:line="240" w:lineRule="auto"/>
        <w:ind w:firstLine="720"/>
        <w:jc w:val="both"/>
        <w:rPr>
          <w:rFonts w:ascii="Times New Roman" w:hAnsi="Times New Roman" w:cs="Times New Roman"/>
          <w:sz w:val="24"/>
          <w:szCs w:val="24"/>
        </w:rPr>
      </w:pPr>
      <w:r w:rsidRPr="001F1D83">
        <w:rPr>
          <w:rFonts w:ascii="Times New Roman" w:hAnsi="Times New Roman" w:cs="Times New Roman"/>
          <w:color w:val="000000"/>
          <w:sz w:val="24"/>
          <w:szCs w:val="24"/>
        </w:rPr>
        <w:t>Problem financing for Islamic banks is reflected by Non Performing Financing (NPF).</w:t>
      </w:r>
    </w:p>
    <w:p w:rsidR="001F1D83" w:rsidRPr="001F1D83" w:rsidRDefault="001F1D83" w:rsidP="001F1D83">
      <w:pPr>
        <w:pStyle w:val="Heading1"/>
        <w:ind w:left="1134" w:right="-1" w:hanging="1134"/>
        <w:jc w:val="center"/>
        <w:rPr>
          <w:sz w:val="24"/>
          <w:szCs w:val="24"/>
        </w:rPr>
      </w:pPr>
      <w:r w:rsidRPr="001F1D83">
        <w:rPr>
          <w:b w:val="0"/>
          <w:sz w:val="24"/>
          <w:szCs w:val="24"/>
        </w:rPr>
        <w:t>Table.3 Composite Weight of Non Performing Financing Components (NPF)</w:t>
      </w:r>
    </w:p>
    <w:tbl>
      <w:tblPr>
        <w:tblW w:w="3816" w:type="dxa"/>
        <w:tblInd w:w="1242" w:type="dxa"/>
        <w:tblLook w:val="04A0"/>
      </w:tblPr>
      <w:tblGrid>
        <w:gridCol w:w="2106"/>
        <w:gridCol w:w="1710"/>
      </w:tblGrid>
      <w:tr w:rsidR="001F1D83" w:rsidRPr="001F1D83" w:rsidTr="00107E57">
        <w:trPr>
          <w:trHeight w:val="324"/>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Year</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Weight (%)</w:t>
            </w:r>
          </w:p>
        </w:tc>
      </w:tr>
      <w:tr w:rsidR="001F1D83" w:rsidRPr="001F1D83" w:rsidTr="00107E57">
        <w:trPr>
          <w:trHeight w:val="324"/>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2015</w:t>
            </w:r>
          </w:p>
        </w:tc>
        <w:tc>
          <w:tcPr>
            <w:tcW w:w="1710"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Rp.7,74</w:t>
            </w:r>
          </w:p>
        </w:tc>
      </w:tr>
      <w:tr w:rsidR="001F1D83" w:rsidRPr="001F1D83" w:rsidTr="00107E57">
        <w:trPr>
          <w:trHeight w:val="324"/>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2016</w:t>
            </w:r>
          </w:p>
        </w:tc>
        <w:tc>
          <w:tcPr>
            <w:tcW w:w="1710"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Rp.4,93</w:t>
            </w:r>
          </w:p>
        </w:tc>
      </w:tr>
      <w:tr w:rsidR="001F1D83" w:rsidRPr="001F1D83" w:rsidTr="00107E57">
        <w:trPr>
          <w:trHeight w:val="324"/>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2017</w:t>
            </w:r>
          </w:p>
        </w:tc>
        <w:tc>
          <w:tcPr>
            <w:tcW w:w="1710"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Rp.4,15</w:t>
            </w:r>
          </w:p>
        </w:tc>
      </w:tr>
      <w:tr w:rsidR="001F1D83" w:rsidRPr="001F1D83" w:rsidTr="00107E57">
        <w:trPr>
          <w:trHeight w:val="324"/>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2018</w:t>
            </w:r>
          </w:p>
        </w:tc>
        <w:tc>
          <w:tcPr>
            <w:tcW w:w="1710" w:type="dxa"/>
            <w:tcBorders>
              <w:top w:val="nil"/>
              <w:left w:val="nil"/>
              <w:bottom w:val="single" w:sz="4" w:space="0" w:color="auto"/>
              <w:right w:val="single" w:sz="4" w:space="0" w:color="auto"/>
            </w:tcBorders>
            <w:shd w:val="clear" w:color="auto" w:fill="auto"/>
            <w:noWrap/>
            <w:vAlign w:val="center"/>
            <w:hideMark/>
          </w:tcPr>
          <w:p w:rsidR="001F1D83" w:rsidRPr="001F1D83" w:rsidRDefault="001F1D83" w:rsidP="001F1D83">
            <w:pPr>
              <w:spacing w:line="240" w:lineRule="auto"/>
              <w:rPr>
                <w:rFonts w:ascii="Times New Roman" w:eastAsia="Times New Roman" w:hAnsi="Times New Roman" w:cs="Times New Roman"/>
                <w:color w:val="000000"/>
                <w:sz w:val="24"/>
                <w:szCs w:val="24"/>
              </w:rPr>
            </w:pPr>
            <w:r w:rsidRPr="001F1D83">
              <w:rPr>
                <w:rFonts w:ascii="Times New Roman" w:eastAsia="Times New Roman" w:hAnsi="Times New Roman" w:cs="Times New Roman"/>
                <w:color w:val="000000"/>
                <w:sz w:val="24"/>
                <w:szCs w:val="24"/>
              </w:rPr>
              <w:t>Rp.3,61</w:t>
            </w:r>
          </w:p>
        </w:tc>
      </w:tr>
    </w:tbl>
    <w:p w:rsidR="001F1D83" w:rsidRPr="001F1D83" w:rsidRDefault="001F1D83" w:rsidP="001F1D83">
      <w:pPr>
        <w:spacing w:line="240" w:lineRule="auto"/>
        <w:ind w:left="720" w:firstLine="720"/>
        <w:jc w:val="both"/>
        <w:rPr>
          <w:rFonts w:ascii="Times New Roman" w:hAnsi="Times New Roman" w:cs="Times New Roman"/>
          <w:sz w:val="24"/>
          <w:szCs w:val="24"/>
        </w:rPr>
      </w:pPr>
      <w:r w:rsidRPr="001F1D83">
        <w:rPr>
          <w:rFonts w:ascii="Times New Roman" w:hAnsi="Times New Roman" w:cs="Times New Roman"/>
          <w:sz w:val="24"/>
          <w:szCs w:val="24"/>
        </w:rPr>
        <w:t>Source, processed (2019)</w:t>
      </w:r>
    </w:p>
    <w:p w:rsidR="001F1D83" w:rsidRPr="001F1D83" w:rsidRDefault="001F1D83" w:rsidP="001F1D83">
      <w:pPr>
        <w:spacing w:line="240" w:lineRule="auto"/>
        <w:jc w:val="both"/>
        <w:rPr>
          <w:rFonts w:ascii="Times New Roman" w:hAnsi="Times New Roman" w:cs="Times New Roman"/>
          <w:sz w:val="24"/>
          <w:szCs w:val="24"/>
        </w:rPr>
      </w:pPr>
      <w:r w:rsidRPr="001F1D83">
        <w:rPr>
          <w:rFonts w:ascii="Times New Roman" w:hAnsi="Times New Roman" w:cs="Times New Roman"/>
          <w:sz w:val="24"/>
          <w:szCs w:val="24"/>
        </w:rPr>
        <w:t xml:space="preserve">Seen from table.3 the level of the NPF ratio in 2015 had a ratio of Rp.7.74% and in 2016 the NPF ratio decreased by 2.81% with a ratio of Rp.4.93% while in 2017 it remained stable with a ratio of </w:t>
      </w:r>
      <w:proofErr w:type="spellStart"/>
      <w:r w:rsidRPr="001F1D83">
        <w:rPr>
          <w:rFonts w:ascii="Times New Roman" w:hAnsi="Times New Roman" w:cs="Times New Roman"/>
          <w:sz w:val="24"/>
          <w:szCs w:val="24"/>
        </w:rPr>
        <w:t>Rp</w:t>
      </w:r>
      <w:proofErr w:type="spellEnd"/>
      <w:r w:rsidRPr="001F1D83">
        <w:rPr>
          <w:rFonts w:ascii="Times New Roman" w:hAnsi="Times New Roman" w:cs="Times New Roman"/>
          <w:sz w:val="24"/>
          <w:szCs w:val="24"/>
        </w:rPr>
        <w:t xml:space="preserve"> .4.15% and in 2018 the NPF ratio has decreased again by 0.54% with a ratio of Rp.3.61%. It can be concluded that the NPF ratio every year has decreased continuously.</w:t>
      </w:r>
    </w:p>
    <w:p w:rsidR="001F1D83" w:rsidRPr="001F1D83" w:rsidRDefault="001F1D83" w:rsidP="001F1D83">
      <w:pPr>
        <w:pStyle w:val="ListParagraph"/>
        <w:spacing w:line="240" w:lineRule="auto"/>
        <w:ind w:left="1134"/>
        <w:jc w:val="both"/>
        <w:rPr>
          <w:rFonts w:ascii="Times New Roman" w:hAnsi="Times New Roman" w:cs="Times New Roman"/>
          <w:sz w:val="24"/>
          <w:szCs w:val="24"/>
        </w:rPr>
      </w:pPr>
      <w:r w:rsidRPr="001F1D83">
        <w:rPr>
          <w:rFonts w:ascii="Times New Roman" w:hAnsi="Times New Roman" w:cs="Times New Roman"/>
          <w:noProof/>
          <w:sz w:val="24"/>
          <w:szCs w:val="24"/>
        </w:rPr>
        <w:drawing>
          <wp:inline distT="0" distB="0" distL="0" distR="0">
            <wp:extent cx="3914610" cy="1660884"/>
            <wp:effectExtent l="19050" t="0" r="969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1D83" w:rsidRPr="001F1D83" w:rsidRDefault="001F1D83" w:rsidP="001F1D83">
      <w:pPr>
        <w:pStyle w:val="ListParagraph"/>
        <w:spacing w:line="240" w:lineRule="auto"/>
        <w:ind w:left="1985" w:hanging="851"/>
        <w:jc w:val="both"/>
        <w:rPr>
          <w:rFonts w:ascii="Times New Roman" w:hAnsi="Times New Roman" w:cs="Times New Roman"/>
          <w:sz w:val="24"/>
          <w:szCs w:val="24"/>
        </w:rPr>
      </w:pPr>
      <w:proofErr w:type="gramStart"/>
      <w:r w:rsidRPr="001F1D83">
        <w:rPr>
          <w:rFonts w:ascii="Times New Roman" w:hAnsi="Times New Roman" w:cs="Times New Roman"/>
          <w:sz w:val="24"/>
          <w:szCs w:val="24"/>
        </w:rPr>
        <w:t>Figure 3.</w:t>
      </w:r>
      <w:proofErr w:type="gramEnd"/>
      <w:r w:rsidRPr="001F1D83">
        <w:rPr>
          <w:rFonts w:ascii="Times New Roman" w:hAnsi="Times New Roman" w:cs="Times New Roman"/>
          <w:sz w:val="24"/>
          <w:szCs w:val="24"/>
        </w:rPr>
        <w:t xml:space="preserve"> Non-Financing Financing Component (NPF) Component Weight of 2015-2018</w:t>
      </w:r>
    </w:p>
    <w:p w:rsidR="004E1C38" w:rsidRDefault="004E1C38" w:rsidP="001F1D83">
      <w:pPr>
        <w:spacing w:line="240" w:lineRule="auto"/>
        <w:jc w:val="both"/>
        <w:rPr>
          <w:rFonts w:ascii="Times New Roman" w:hAnsi="Times New Roman" w:cs="Times New Roman"/>
          <w:b/>
          <w:sz w:val="24"/>
          <w:szCs w:val="24"/>
        </w:rPr>
      </w:pPr>
    </w:p>
    <w:p w:rsidR="001F1D83" w:rsidRPr="001F1D83" w:rsidRDefault="001F1D83" w:rsidP="001F1D83">
      <w:pPr>
        <w:spacing w:line="240" w:lineRule="auto"/>
        <w:jc w:val="both"/>
        <w:rPr>
          <w:rFonts w:ascii="Times New Roman" w:hAnsi="Times New Roman" w:cs="Times New Roman"/>
          <w:b/>
          <w:sz w:val="24"/>
          <w:szCs w:val="24"/>
        </w:rPr>
      </w:pPr>
      <w:r w:rsidRPr="001F1D83">
        <w:rPr>
          <w:rFonts w:ascii="Times New Roman" w:hAnsi="Times New Roman" w:cs="Times New Roman"/>
          <w:b/>
          <w:sz w:val="24"/>
          <w:szCs w:val="24"/>
        </w:rPr>
        <w:lastRenderedPageBreak/>
        <w:t>Data Analysis</w:t>
      </w:r>
    </w:p>
    <w:tbl>
      <w:tblPr>
        <w:tblW w:w="659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53"/>
        <w:gridCol w:w="1588"/>
        <w:gridCol w:w="2261"/>
        <w:gridCol w:w="1588"/>
      </w:tblGrid>
      <w:tr w:rsidR="001F1D83" w:rsidRPr="001F1D83" w:rsidTr="00107E57">
        <w:trPr>
          <w:cantSplit/>
          <w:trHeight w:val="338"/>
        </w:trPr>
        <w:tc>
          <w:tcPr>
            <w:tcW w:w="6590" w:type="dxa"/>
            <w:gridSpan w:val="4"/>
            <w:tcBorders>
              <w:top w:val="nil"/>
              <w:left w:val="nil"/>
              <w:bottom w:val="nil"/>
              <w:right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bCs/>
                <w:color w:val="000000"/>
                <w:sz w:val="24"/>
                <w:szCs w:val="24"/>
              </w:rPr>
              <w:t xml:space="preserve">                                    Table.4   Descriptive Statistics</w:t>
            </w:r>
          </w:p>
        </w:tc>
      </w:tr>
      <w:tr w:rsidR="001F1D83" w:rsidRPr="001F1D83" w:rsidTr="00107E57">
        <w:trPr>
          <w:cantSplit/>
          <w:trHeight w:val="338"/>
        </w:trPr>
        <w:tc>
          <w:tcPr>
            <w:tcW w:w="115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rPr>
                <w:rFonts w:ascii="Times New Roman" w:hAnsi="Times New Roman" w:cs="Times New Roman"/>
                <w:sz w:val="24"/>
                <w:szCs w:val="24"/>
              </w:rPr>
            </w:pPr>
          </w:p>
        </w:tc>
        <w:tc>
          <w:tcPr>
            <w:tcW w:w="1588" w:type="dxa"/>
            <w:tcBorders>
              <w:top w:val="single" w:sz="16" w:space="0" w:color="000000"/>
              <w:left w:val="single" w:sz="16" w:space="0" w:color="000000"/>
              <w:bottom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Mean</w:t>
            </w:r>
          </w:p>
        </w:tc>
        <w:tc>
          <w:tcPr>
            <w:tcW w:w="2261" w:type="dxa"/>
            <w:tcBorders>
              <w:top w:val="single" w:sz="16" w:space="0" w:color="000000"/>
              <w:bottom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Std. Deviation</w:t>
            </w:r>
          </w:p>
        </w:tc>
        <w:tc>
          <w:tcPr>
            <w:tcW w:w="1588" w:type="dxa"/>
            <w:tcBorders>
              <w:top w:val="single" w:sz="16" w:space="0" w:color="000000"/>
              <w:bottom w:val="single" w:sz="16" w:space="0" w:color="000000"/>
              <w:right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N</w:t>
            </w:r>
          </w:p>
        </w:tc>
      </w:tr>
      <w:tr w:rsidR="001F1D83" w:rsidRPr="001F1D83" w:rsidTr="00107E57">
        <w:trPr>
          <w:cantSplit/>
          <w:trHeight w:val="338"/>
        </w:trPr>
        <w:tc>
          <w:tcPr>
            <w:tcW w:w="1153" w:type="dxa"/>
            <w:tcBorders>
              <w:top w:val="single" w:sz="16" w:space="0" w:color="000000"/>
              <w:left w:val="single" w:sz="16" w:space="0" w:color="000000"/>
              <w:bottom w:val="nil"/>
              <w:right w:val="single" w:sz="16" w:space="0" w:color="000000"/>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NPF</w:t>
            </w:r>
          </w:p>
        </w:tc>
        <w:tc>
          <w:tcPr>
            <w:tcW w:w="1588" w:type="dxa"/>
            <w:tcBorders>
              <w:top w:val="single" w:sz="16" w:space="0" w:color="000000"/>
              <w:left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5,1075</w:t>
            </w:r>
          </w:p>
        </w:tc>
        <w:tc>
          <w:tcPr>
            <w:tcW w:w="2261"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1,83674</w:t>
            </w:r>
          </w:p>
        </w:tc>
        <w:tc>
          <w:tcPr>
            <w:tcW w:w="1588" w:type="dxa"/>
            <w:tcBorders>
              <w:top w:val="single" w:sz="16" w:space="0" w:color="000000"/>
              <w:bottom w:val="nil"/>
              <w:right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4</w:t>
            </w:r>
          </w:p>
        </w:tc>
      </w:tr>
      <w:tr w:rsidR="001F1D83" w:rsidRPr="001F1D83" w:rsidTr="00107E57">
        <w:trPr>
          <w:cantSplit/>
          <w:trHeight w:val="338"/>
        </w:trPr>
        <w:tc>
          <w:tcPr>
            <w:tcW w:w="1153" w:type="dxa"/>
            <w:tcBorders>
              <w:top w:val="nil"/>
              <w:left w:val="single" w:sz="16" w:space="0" w:color="000000"/>
              <w:bottom w:val="nil"/>
              <w:right w:val="single" w:sz="16" w:space="0" w:color="000000"/>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FDR</w:t>
            </w:r>
          </w:p>
        </w:tc>
        <w:tc>
          <w:tcPr>
            <w:tcW w:w="1588" w:type="dxa"/>
            <w:tcBorders>
              <w:top w:val="nil"/>
              <w:left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78,8250</w:t>
            </w:r>
          </w:p>
        </w:tc>
        <w:tc>
          <w:tcPr>
            <w:tcW w:w="2261" w:type="dxa"/>
            <w:tcBorders>
              <w:top w:val="nil"/>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5,54247</w:t>
            </w:r>
          </w:p>
        </w:tc>
        <w:tc>
          <w:tcPr>
            <w:tcW w:w="1588" w:type="dxa"/>
            <w:tcBorders>
              <w:top w:val="nil"/>
              <w:bottom w:val="nil"/>
              <w:right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4</w:t>
            </w:r>
          </w:p>
        </w:tc>
      </w:tr>
      <w:tr w:rsidR="001F1D83" w:rsidRPr="001F1D83" w:rsidTr="00107E57">
        <w:trPr>
          <w:cantSplit/>
          <w:trHeight w:val="356"/>
        </w:trPr>
        <w:tc>
          <w:tcPr>
            <w:tcW w:w="1153" w:type="dxa"/>
            <w:tcBorders>
              <w:top w:val="nil"/>
              <w:left w:val="single" w:sz="16" w:space="0" w:color="000000"/>
              <w:bottom w:val="single" w:sz="16" w:space="0" w:color="000000"/>
              <w:right w:val="single" w:sz="16" w:space="0" w:color="000000"/>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FAR</w:t>
            </w:r>
          </w:p>
        </w:tc>
        <w:tc>
          <w:tcPr>
            <w:tcW w:w="1588" w:type="dxa"/>
            <w:tcBorders>
              <w:top w:val="nil"/>
              <w:left w:val="single" w:sz="16" w:space="0" w:color="000000"/>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70,4700</w:t>
            </w:r>
          </w:p>
        </w:tc>
        <w:tc>
          <w:tcPr>
            <w:tcW w:w="2261"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4,55736</w:t>
            </w:r>
          </w:p>
        </w:tc>
        <w:tc>
          <w:tcPr>
            <w:tcW w:w="1588" w:type="dxa"/>
            <w:tcBorders>
              <w:top w:val="nil"/>
              <w:bottom w:val="single" w:sz="16" w:space="0" w:color="000000"/>
              <w:right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4</w:t>
            </w:r>
          </w:p>
        </w:tc>
      </w:tr>
    </w:tbl>
    <w:p w:rsidR="001F1D83" w:rsidRPr="001F1D83" w:rsidRDefault="001F1D83" w:rsidP="001F1D83">
      <w:pPr>
        <w:spacing w:line="240" w:lineRule="auto"/>
        <w:ind w:firstLine="720"/>
        <w:jc w:val="both"/>
        <w:rPr>
          <w:rFonts w:ascii="Times New Roman" w:hAnsi="Times New Roman" w:cs="Times New Roman"/>
          <w:color w:val="000000"/>
          <w:sz w:val="24"/>
          <w:szCs w:val="24"/>
        </w:rPr>
      </w:pPr>
    </w:p>
    <w:p w:rsidR="001F1D83" w:rsidRDefault="001F1D83" w:rsidP="001F1D83">
      <w:pPr>
        <w:spacing w:line="240" w:lineRule="auto"/>
        <w:ind w:firstLine="720"/>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Based on Table 4.5 the mean value of the FDR variable is 78.8250% with a standard deviation of 5.54247. The mean value for the FAR variable is 70.400% with a standard deviation of 4.55736. While the mean value of the NPF variable is 5.1075% with a standard deviation value of 1.83674.</w:t>
      </w:r>
    </w:p>
    <w:p w:rsidR="001F1D83" w:rsidRPr="001F1D83" w:rsidRDefault="001F1D83" w:rsidP="001F1D83">
      <w:pPr>
        <w:spacing w:line="240" w:lineRule="auto"/>
        <w:ind w:firstLine="720"/>
        <w:jc w:val="both"/>
        <w:rPr>
          <w:rFonts w:ascii="Times New Roman" w:hAnsi="Times New Roman" w:cs="Times New Roman"/>
          <w:color w:val="000000"/>
          <w:sz w:val="24"/>
          <w:szCs w:val="24"/>
        </w:rPr>
      </w:pPr>
    </w:p>
    <w:p w:rsidR="001F1D83" w:rsidRPr="001F1D83" w:rsidRDefault="001F1D83" w:rsidP="001F1D83">
      <w:pPr>
        <w:pStyle w:val="ListParagraph"/>
        <w:numPr>
          <w:ilvl w:val="0"/>
          <w:numId w:val="46"/>
        </w:numPr>
        <w:spacing w:after="200" w:line="240" w:lineRule="auto"/>
        <w:ind w:left="360"/>
        <w:jc w:val="both"/>
        <w:rPr>
          <w:rFonts w:ascii="Times New Roman" w:hAnsi="Times New Roman" w:cs="Times New Roman"/>
          <w:b/>
          <w:sz w:val="24"/>
          <w:szCs w:val="24"/>
        </w:rPr>
      </w:pPr>
      <w:proofErr w:type="spellStart"/>
      <w:r w:rsidRPr="001F1D83">
        <w:rPr>
          <w:rFonts w:ascii="Times New Roman" w:hAnsi="Times New Roman" w:cs="Times New Roman"/>
          <w:b/>
          <w:sz w:val="24"/>
          <w:szCs w:val="24"/>
        </w:rPr>
        <w:t>Multicollinearity</w:t>
      </w:r>
      <w:proofErr w:type="spellEnd"/>
      <w:r w:rsidRPr="001F1D83">
        <w:rPr>
          <w:rFonts w:ascii="Times New Roman" w:hAnsi="Times New Roman" w:cs="Times New Roman"/>
          <w:b/>
          <w:sz w:val="24"/>
          <w:szCs w:val="24"/>
        </w:rPr>
        <w:t xml:space="preserve"> test</w:t>
      </w:r>
    </w:p>
    <w:p w:rsidR="001F1D83" w:rsidRPr="001F1D83" w:rsidRDefault="001F1D83" w:rsidP="001F1D83">
      <w:pPr>
        <w:spacing w:after="0" w:line="240" w:lineRule="auto"/>
        <w:ind w:firstLine="720"/>
        <w:jc w:val="both"/>
        <w:rPr>
          <w:rFonts w:ascii="Times New Roman" w:hAnsi="Times New Roman" w:cs="Times New Roman"/>
          <w:color w:val="000000"/>
          <w:sz w:val="24"/>
          <w:szCs w:val="24"/>
        </w:rPr>
      </w:pPr>
      <w:proofErr w:type="spellStart"/>
      <w:r w:rsidRPr="001F1D83">
        <w:rPr>
          <w:rFonts w:ascii="Times New Roman" w:hAnsi="Times New Roman" w:cs="Times New Roman"/>
          <w:color w:val="000000"/>
          <w:sz w:val="24"/>
          <w:szCs w:val="24"/>
        </w:rPr>
        <w:t>Multicollinearity</w:t>
      </w:r>
      <w:proofErr w:type="spellEnd"/>
      <w:r w:rsidRPr="001F1D83">
        <w:rPr>
          <w:rFonts w:ascii="Times New Roman" w:hAnsi="Times New Roman" w:cs="Times New Roman"/>
          <w:color w:val="000000"/>
          <w:sz w:val="24"/>
          <w:szCs w:val="24"/>
        </w:rPr>
        <w:t xml:space="preserve"> test is a condition when two or more independent variables correlate with each other. The emergence of </w:t>
      </w:r>
      <w:proofErr w:type="spellStart"/>
      <w:r w:rsidRPr="001F1D83">
        <w:rPr>
          <w:rFonts w:ascii="Times New Roman" w:hAnsi="Times New Roman" w:cs="Times New Roman"/>
          <w:color w:val="000000"/>
          <w:sz w:val="24"/>
          <w:szCs w:val="24"/>
        </w:rPr>
        <w:t>multicollinity</w:t>
      </w:r>
      <w:proofErr w:type="spellEnd"/>
      <w:r w:rsidRPr="001F1D83">
        <w:rPr>
          <w:rFonts w:ascii="Times New Roman" w:hAnsi="Times New Roman" w:cs="Times New Roman"/>
          <w:color w:val="000000"/>
          <w:sz w:val="24"/>
          <w:szCs w:val="24"/>
        </w:rPr>
        <w:t xml:space="preserve"> can be identified from the VIF (Variance Inflation Factor) which is the standard deviation of squares and is used to measure the closeness of the relationship between independent variables. Several things can be the basis for knowing the existence of </w:t>
      </w:r>
      <w:proofErr w:type="spellStart"/>
      <w:r w:rsidRPr="001F1D83">
        <w:rPr>
          <w:rFonts w:ascii="Times New Roman" w:hAnsi="Times New Roman" w:cs="Times New Roman"/>
          <w:color w:val="000000"/>
          <w:sz w:val="24"/>
          <w:szCs w:val="24"/>
        </w:rPr>
        <w:t>multicollinearity</w:t>
      </w:r>
      <w:proofErr w:type="spellEnd"/>
      <w:r w:rsidRPr="001F1D83">
        <w:rPr>
          <w:rFonts w:ascii="Times New Roman" w:hAnsi="Times New Roman" w:cs="Times New Roman"/>
          <w:color w:val="000000"/>
          <w:sz w:val="24"/>
          <w:szCs w:val="24"/>
        </w:rPr>
        <w:t xml:space="preserve"> in the regression model by noting: if the VIF value is not more than 10 (VIF≤10), then the regression model is free from </w:t>
      </w:r>
      <w:proofErr w:type="spellStart"/>
      <w:r w:rsidRPr="001F1D83">
        <w:rPr>
          <w:rFonts w:ascii="Times New Roman" w:hAnsi="Times New Roman" w:cs="Times New Roman"/>
          <w:color w:val="000000"/>
          <w:sz w:val="24"/>
          <w:szCs w:val="24"/>
        </w:rPr>
        <w:t>multicollinearity</w:t>
      </w:r>
      <w:proofErr w:type="spellEnd"/>
      <w:r w:rsidRPr="001F1D83">
        <w:rPr>
          <w:rFonts w:ascii="Times New Roman" w:hAnsi="Times New Roman" w:cs="Times New Roman"/>
          <w:color w:val="000000"/>
          <w:sz w:val="24"/>
          <w:szCs w:val="24"/>
        </w:rPr>
        <w:t xml:space="preserve">. The tolerance value is not less than 0.1 (tolerance ≥ 0.10), then the regression model is free from </w:t>
      </w:r>
      <w:proofErr w:type="spellStart"/>
      <w:r w:rsidRPr="001F1D83">
        <w:rPr>
          <w:rFonts w:ascii="Times New Roman" w:hAnsi="Times New Roman" w:cs="Times New Roman"/>
          <w:color w:val="000000"/>
          <w:sz w:val="24"/>
          <w:szCs w:val="24"/>
        </w:rPr>
        <w:t>multicollinearity</w:t>
      </w:r>
      <w:proofErr w:type="spellEnd"/>
      <w:r w:rsidRPr="001F1D83">
        <w:rPr>
          <w:rFonts w:ascii="Times New Roman" w:hAnsi="Times New Roman" w:cs="Times New Roman"/>
          <w:color w:val="000000"/>
          <w:sz w:val="24"/>
          <w:szCs w:val="24"/>
        </w:rPr>
        <w:t>.</w:t>
      </w:r>
    </w:p>
    <w:p w:rsidR="001F1D83" w:rsidRPr="001F1D83" w:rsidRDefault="001F1D83" w:rsidP="001F1D83">
      <w:pPr>
        <w:spacing w:line="240" w:lineRule="auto"/>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                                    Table.5 </w:t>
      </w:r>
      <w:proofErr w:type="spellStart"/>
      <w:r w:rsidRPr="001F1D83">
        <w:rPr>
          <w:rFonts w:ascii="Times New Roman" w:hAnsi="Times New Roman" w:cs="Times New Roman"/>
          <w:color w:val="000000"/>
          <w:sz w:val="24"/>
          <w:szCs w:val="24"/>
        </w:rPr>
        <w:t>Multicollinearity</w:t>
      </w:r>
      <w:proofErr w:type="spellEnd"/>
      <w:r w:rsidRPr="001F1D83">
        <w:rPr>
          <w:rFonts w:ascii="Times New Roman" w:hAnsi="Times New Roman" w:cs="Times New Roman"/>
          <w:color w:val="000000"/>
          <w:sz w:val="24"/>
          <w:szCs w:val="24"/>
        </w:rPr>
        <w:t xml:space="preserve"> test</w:t>
      </w:r>
    </w:p>
    <w:tbl>
      <w:tblPr>
        <w:tblW w:w="723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992"/>
        <w:gridCol w:w="851"/>
        <w:gridCol w:w="850"/>
        <w:gridCol w:w="992"/>
        <w:gridCol w:w="709"/>
        <w:gridCol w:w="567"/>
        <w:gridCol w:w="709"/>
        <w:gridCol w:w="709"/>
      </w:tblGrid>
      <w:tr w:rsidR="001F1D83" w:rsidRPr="001F1D83" w:rsidTr="00107E57">
        <w:trPr>
          <w:cantSplit/>
          <w:trHeight w:val="523"/>
        </w:trPr>
        <w:tc>
          <w:tcPr>
            <w:tcW w:w="7230" w:type="dxa"/>
            <w:gridSpan w:val="9"/>
            <w:tcBorders>
              <w:top w:val="nil"/>
              <w:left w:val="nil"/>
              <w:bottom w:val="nil"/>
              <w:right w:val="nil"/>
            </w:tcBorders>
            <w:shd w:val="clear" w:color="auto" w:fill="FFFFFF"/>
            <w:vAlign w:val="center"/>
          </w:tcPr>
          <w:p w:rsidR="001F1D83" w:rsidRPr="001F1D83" w:rsidRDefault="001F1D83" w:rsidP="001F1D83">
            <w:pPr>
              <w:autoSpaceDE w:val="0"/>
              <w:autoSpaceDN w:val="0"/>
              <w:adjustRightInd w:val="0"/>
              <w:spacing w:after="0" w:line="240" w:lineRule="auto"/>
              <w:ind w:right="60"/>
              <w:rPr>
                <w:rFonts w:ascii="Times New Roman" w:hAnsi="Times New Roman" w:cs="Times New Roman"/>
                <w:color w:val="000000"/>
                <w:sz w:val="24"/>
                <w:szCs w:val="24"/>
              </w:rPr>
            </w:pPr>
            <w:r w:rsidRPr="001F1D83">
              <w:rPr>
                <w:rFonts w:ascii="Times New Roman" w:hAnsi="Times New Roman" w:cs="Times New Roman"/>
                <w:b/>
                <w:bCs/>
                <w:color w:val="000000"/>
                <w:sz w:val="24"/>
                <w:szCs w:val="24"/>
              </w:rPr>
              <w:t xml:space="preserve">                                                   </w:t>
            </w:r>
            <w:proofErr w:type="spellStart"/>
            <w:r w:rsidRPr="001F1D83">
              <w:rPr>
                <w:rFonts w:ascii="Times New Roman" w:hAnsi="Times New Roman" w:cs="Times New Roman"/>
                <w:b/>
                <w:bCs/>
                <w:color w:val="000000"/>
                <w:sz w:val="24"/>
                <w:szCs w:val="24"/>
              </w:rPr>
              <w:t>Coefficients</w:t>
            </w:r>
            <w:r w:rsidRPr="001F1D83">
              <w:rPr>
                <w:rFonts w:ascii="Times New Roman" w:hAnsi="Times New Roman" w:cs="Times New Roman"/>
                <w:b/>
                <w:bCs/>
                <w:color w:val="000000"/>
                <w:sz w:val="24"/>
                <w:szCs w:val="24"/>
                <w:vertAlign w:val="superscript"/>
              </w:rPr>
              <w:t>a</w:t>
            </w:r>
            <w:proofErr w:type="spellEnd"/>
          </w:p>
        </w:tc>
      </w:tr>
      <w:tr w:rsidR="001F1D83" w:rsidRPr="001F1D83" w:rsidTr="00107E57">
        <w:trPr>
          <w:cantSplit/>
          <w:trHeight w:val="829"/>
        </w:trPr>
        <w:tc>
          <w:tcPr>
            <w:tcW w:w="1843" w:type="dxa"/>
            <w:gridSpan w:val="2"/>
            <w:vMerge w:val="restart"/>
            <w:tcBorders>
              <w:top w:val="single" w:sz="16" w:space="0" w:color="000000"/>
              <w:left w:val="single" w:sz="16" w:space="0" w:color="000000"/>
              <w:bottom w:val="nil"/>
              <w:right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Model</w:t>
            </w:r>
          </w:p>
        </w:tc>
        <w:tc>
          <w:tcPr>
            <w:tcW w:w="1701" w:type="dxa"/>
            <w:gridSpan w:val="2"/>
            <w:tcBorders>
              <w:top w:val="single" w:sz="16" w:space="0" w:color="000000"/>
              <w:lef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1F1D83">
              <w:rPr>
                <w:rFonts w:ascii="Times New Roman" w:hAnsi="Times New Roman" w:cs="Times New Roman"/>
                <w:color w:val="000000"/>
                <w:sz w:val="24"/>
                <w:szCs w:val="24"/>
              </w:rPr>
              <w:t>Unstandardized</w:t>
            </w:r>
            <w:proofErr w:type="spellEnd"/>
            <w:r w:rsidRPr="001F1D83">
              <w:rPr>
                <w:rFonts w:ascii="Times New Roman" w:hAnsi="Times New Roman" w:cs="Times New Roman"/>
                <w:color w:val="000000"/>
                <w:sz w:val="24"/>
                <w:szCs w:val="24"/>
              </w:rPr>
              <w:t xml:space="preserve"> Coefficients</w:t>
            </w:r>
          </w:p>
        </w:tc>
        <w:tc>
          <w:tcPr>
            <w:tcW w:w="992" w:type="dxa"/>
            <w:tcBorders>
              <w:top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Standardized Coefficients</w:t>
            </w:r>
          </w:p>
        </w:tc>
        <w:tc>
          <w:tcPr>
            <w:tcW w:w="709" w:type="dxa"/>
            <w:vMerge w:val="restart"/>
            <w:tcBorders>
              <w:top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t</w:t>
            </w:r>
          </w:p>
        </w:tc>
        <w:tc>
          <w:tcPr>
            <w:tcW w:w="567" w:type="dxa"/>
            <w:vMerge w:val="restart"/>
            <w:tcBorders>
              <w:top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Sig.</w:t>
            </w:r>
          </w:p>
        </w:tc>
        <w:tc>
          <w:tcPr>
            <w:tcW w:w="1418" w:type="dxa"/>
            <w:gridSpan w:val="2"/>
            <w:tcBorders>
              <w:top w:val="single" w:sz="16" w:space="0" w:color="000000"/>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1F1D83">
              <w:rPr>
                <w:rFonts w:ascii="Times New Roman" w:hAnsi="Times New Roman" w:cs="Times New Roman"/>
                <w:color w:val="000000"/>
                <w:sz w:val="24"/>
                <w:szCs w:val="24"/>
              </w:rPr>
              <w:t>Collinearity</w:t>
            </w:r>
            <w:proofErr w:type="spellEnd"/>
            <w:r w:rsidRPr="001F1D83">
              <w:rPr>
                <w:rFonts w:ascii="Times New Roman" w:hAnsi="Times New Roman" w:cs="Times New Roman"/>
                <w:color w:val="000000"/>
                <w:sz w:val="24"/>
                <w:szCs w:val="24"/>
              </w:rPr>
              <w:t xml:space="preserve"> Statistics</w:t>
            </w:r>
          </w:p>
        </w:tc>
      </w:tr>
      <w:tr w:rsidR="001F1D83" w:rsidRPr="001F1D83" w:rsidTr="00107E57">
        <w:trPr>
          <w:cantSplit/>
          <w:trHeight w:val="144"/>
        </w:trPr>
        <w:tc>
          <w:tcPr>
            <w:tcW w:w="1843" w:type="dxa"/>
            <w:gridSpan w:val="2"/>
            <w:vMerge/>
            <w:tcBorders>
              <w:top w:val="single" w:sz="16" w:space="0" w:color="000000"/>
              <w:left w:val="single" w:sz="16" w:space="0" w:color="000000"/>
              <w:bottom w:val="nil"/>
              <w:right w:val="nil"/>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left w:val="single" w:sz="16" w:space="0" w:color="000000"/>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B</w:t>
            </w:r>
          </w:p>
        </w:tc>
        <w:tc>
          <w:tcPr>
            <w:tcW w:w="850" w:type="dxa"/>
            <w:tcBorders>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Std. Error</w:t>
            </w:r>
          </w:p>
        </w:tc>
        <w:tc>
          <w:tcPr>
            <w:tcW w:w="992" w:type="dxa"/>
            <w:tcBorders>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Beta</w:t>
            </w:r>
          </w:p>
        </w:tc>
        <w:tc>
          <w:tcPr>
            <w:tcW w:w="709" w:type="dxa"/>
            <w:vMerge/>
            <w:tcBorders>
              <w:top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vMerge/>
            <w:tcBorders>
              <w:top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tcBorders>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Tolerance</w:t>
            </w:r>
          </w:p>
        </w:tc>
        <w:tc>
          <w:tcPr>
            <w:tcW w:w="709" w:type="dxa"/>
            <w:tcBorders>
              <w:bottom w:val="single" w:sz="16" w:space="0" w:color="000000"/>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VIF</w:t>
            </w:r>
          </w:p>
        </w:tc>
      </w:tr>
      <w:tr w:rsidR="001F1D83" w:rsidRPr="001F1D83" w:rsidTr="00107E57">
        <w:trPr>
          <w:cantSplit/>
          <w:trHeight w:val="511"/>
        </w:trPr>
        <w:tc>
          <w:tcPr>
            <w:tcW w:w="851" w:type="dxa"/>
            <w:vMerge w:val="restart"/>
            <w:tcBorders>
              <w:top w:val="single" w:sz="16" w:space="0" w:color="000000"/>
              <w:left w:val="single" w:sz="16" w:space="0" w:color="000000"/>
              <w:bottom w:val="single" w:sz="16" w:space="0" w:color="000000"/>
              <w:right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1</w:t>
            </w:r>
          </w:p>
        </w:tc>
        <w:tc>
          <w:tcPr>
            <w:tcW w:w="992" w:type="dxa"/>
            <w:tcBorders>
              <w:top w:val="single" w:sz="16" w:space="0" w:color="000000"/>
              <w:left w:val="nil"/>
              <w:bottom w:val="nil"/>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(Constant)</w:t>
            </w:r>
          </w:p>
        </w:tc>
        <w:tc>
          <w:tcPr>
            <w:tcW w:w="851" w:type="dxa"/>
            <w:tcBorders>
              <w:top w:val="single" w:sz="16" w:space="0" w:color="000000"/>
              <w:left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-24,101</w:t>
            </w:r>
          </w:p>
        </w:tc>
        <w:tc>
          <w:tcPr>
            <w:tcW w:w="850"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39,008</w:t>
            </w:r>
          </w:p>
        </w:tc>
        <w:tc>
          <w:tcPr>
            <w:tcW w:w="992"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-,618</w:t>
            </w:r>
          </w:p>
        </w:tc>
        <w:tc>
          <w:tcPr>
            <w:tcW w:w="567"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,648</w:t>
            </w:r>
          </w:p>
        </w:tc>
        <w:tc>
          <w:tcPr>
            <w:tcW w:w="709"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sz w:val="24"/>
                <w:szCs w:val="24"/>
              </w:rPr>
            </w:pPr>
          </w:p>
        </w:tc>
      </w:tr>
      <w:tr w:rsidR="001F1D83" w:rsidRPr="001F1D83" w:rsidTr="00107E57">
        <w:trPr>
          <w:cantSplit/>
          <w:trHeight w:val="144"/>
        </w:trPr>
        <w:tc>
          <w:tcPr>
            <w:tcW w:w="851" w:type="dxa"/>
            <w:vMerge/>
            <w:tcBorders>
              <w:top w:val="single" w:sz="16" w:space="0" w:color="000000"/>
              <w:left w:val="single" w:sz="16" w:space="0" w:color="000000"/>
              <w:bottom w:val="single" w:sz="16" w:space="0" w:color="000000"/>
              <w:right w:val="nil"/>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FDR</w:t>
            </w:r>
          </w:p>
        </w:tc>
        <w:tc>
          <w:tcPr>
            <w:tcW w:w="851" w:type="dxa"/>
            <w:tcBorders>
              <w:top w:val="nil"/>
              <w:left w:val="single" w:sz="16" w:space="0" w:color="000000"/>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,314</w:t>
            </w:r>
          </w:p>
        </w:tc>
        <w:tc>
          <w:tcPr>
            <w:tcW w:w="850" w:type="dxa"/>
            <w:tcBorders>
              <w:top w:val="nil"/>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,256</w:t>
            </w:r>
          </w:p>
        </w:tc>
        <w:tc>
          <w:tcPr>
            <w:tcW w:w="992" w:type="dxa"/>
            <w:tcBorders>
              <w:top w:val="nil"/>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,948</w:t>
            </w:r>
          </w:p>
        </w:tc>
        <w:tc>
          <w:tcPr>
            <w:tcW w:w="709" w:type="dxa"/>
            <w:tcBorders>
              <w:top w:val="nil"/>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1,229</w:t>
            </w:r>
          </w:p>
        </w:tc>
        <w:tc>
          <w:tcPr>
            <w:tcW w:w="567" w:type="dxa"/>
            <w:tcBorders>
              <w:top w:val="nil"/>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,435</w:t>
            </w:r>
          </w:p>
        </w:tc>
        <w:tc>
          <w:tcPr>
            <w:tcW w:w="709" w:type="dxa"/>
            <w:tcBorders>
              <w:top w:val="nil"/>
              <w:bottom w:val="nil"/>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,485</w:t>
            </w:r>
          </w:p>
        </w:tc>
        <w:tc>
          <w:tcPr>
            <w:tcW w:w="709" w:type="dxa"/>
            <w:tcBorders>
              <w:top w:val="nil"/>
              <w:bottom w:val="nil"/>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2,063</w:t>
            </w:r>
          </w:p>
        </w:tc>
      </w:tr>
      <w:tr w:rsidR="001F1D83" w:rsidRPr="001F1D83" w:rsidTr="00107E57">
        <w:trPr>
          <w:cantSplit/>
          <w:trHeight w:val="144"/>
        </w:trPr>
        <w:tc>
          <w:tcPr>
            <w:tcW w:w="851" w:type="dxa"/>
            <w:vMerge/>
            <w:tcBorders>
              <w:top w:val="single" w:sz="16" w:space="0" w:color="000000"/>
              <w:left w:val="single" w:sz="16" w:space="0" w:color="000000"/>
              <w:bottom w:val="single" w:sz="16" w:space="0" w:color="000000"/>
              <w:right w:val="nil"/>
            </w:tcBorders>
            <w:shd w:val="clear" w:color="auto" w:fill="FFFFFF"/>
            <w:vAlign w:val="center"/>
          </w:tcPr>
          <w:p w:rsidR="001F1D83" w:rsidRPr="001F1D83" w:rsidRDefault="001F1D83" w:rsidP="001F1D8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nil"/>
              <w:left w:val="nil"/>
              <w:bottom w:val="single" w:sz="16" w:space="0" w:color="000000"/>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FAR</w:t>
            </w:r>
          </w:p>
        </w:tc>
        <w:tc>
          <w:tcPr>
            <w:tcW w:w="851" w:type="dxa"/>
            <w:tcBorders>
              <w:top w:val="nil"/>
              <w:left w:val="single" w:sz="16" w:space="0" w:color="000000"/>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,063</w:t>
            </w:r>
          </w:p>
        </w:tc>
        <w:tc>
          <w:tcPr>
            <w:tcW w:w="850"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,311</w:t>
            </w:r>
          </w:p>
        </w:tc>
        <w:tc>
          <w:tcPr>
            <w:tcW w:w="992"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,156</w:t>
            </w:r>
          </w:p>
        </w:tc>
        <w:tc>
          <w:tcPr>
            <w:tcW w:w="709"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,202</w:t>
            </w:r>
          </w:p>
        </w:tc>
        <w:tc>
          <w:tcPr>
            <w:tcW w:w="567"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,873</w:t>
            </w:r>
          </w:p>
        </w:tc>
        <w:tc>
          <w:tcPr>
            <w:tcW w:w="709"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,485</w:t>
            </w:r>
          </w:p>
        </w:tc>
        <w:tc>
          <w:tcPr>
            <w:tcW w:w="709" w:type="dxa"/>
            <w:tcBorders>
              <w:top w:val="nil"/>
              <w:bottom w:val="single" w:sz="16" w:space="0" w:color="000000"/>
              <w:right w:val="single" w:sz="16" w:space="0" w:color="000000"/>
            </w:tcBorders>
            <w:shd w:val="clear" w:color="auto" w:fill="FFFFFF"/>
            <w:vAlign w:val="center"/>
          </w:tcPr>
          <w:p w:rsidR="001F1D83" w:rsidRPr="001F1D83" w:rsidRDefault="001F1D83" w:rsidP="001F1D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F1D83">
              <w:rPr>
                <w:rFonts w:ascii="Times New Roman" w:hAnsi="Times New Roman" w:cs="Times New Roman"/>
                <w:color w:val="000000"/>
                <w:sz w:val="24"/>
                <w:szCs w:val="24"/>
              </w:rPr>
              <w:t>2,063</w:t>
            </w:r>
          </w:p>
        </w:tc>
      </w:tr>
    </w:tbl>
    <w:p w:rsidR="001F1D83" w:rsidRPr="001F1D83" w:rsidRDefault="001F1D83" w:rsidP="001F1D83">
      <w:pPr>
        <w:pStyle w:val="ListParagraph"/>
        <w:spacing w:line="240" w:lineRule="auto"/>
        <w:ind w:left="0" w:firstLine="720"/>
        <w:jc w:val="both"/>
        <w:rPr>
          <w:rFonts w:ascii="Times New Roman" w:hAnsi="Times New Roman" w:cs="Times New Roman"/>
          <w:color w:val="000000"/>
          <w:sz w:val="24"/>
          <w:szCs w:val="24"/>
        </w:rPr>
      </w:pPr>
    </w:p>
    <w:p w:rsidR="001F1D83" w:rsidRPr="001F1D83" w:rsidRDefault="001F1D83" w:rsidP="001F1D83">
      <w:pPr>
        <w:pStyle w:val="ListParagraph"/>
        <w:spacing w:line="240" w:lineRule="auto"/>
        <w:ind w:left="0" w:firstLine="720"/>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Based on Table 5 the acquisition of VIF and Tolerance values generated by the FDR variable are 2.063 and 0.485, while for the FAR variable is 2.063 and 0.485. Therefore, these results indicate there is no </w:t>
      </w:r>
      <w:proofErr w:type="spellStart"/>
      <w:r w:rsidRPr="001F1D83">
        <w:rPr>
          <w:rFonts w:ascii="Times New Roman" w:hAnsi="Times New Roman" w:cs="Times New Roman"/>
          <w:color w:val="000000"/>
          <w:sz w:val="24"/>
          <w:szCs w:val="24"/>
        </w:rPr>
        <w:t>multicollinearity</w:t>
      </w:r>
      <w:proofErr w:type="spellEnd"/>
      <w:r w:rsidRPr="001F1D83">
        <w:rPr>
          <w:rFonts w:ascii="Times New Roman" w:hAnsi="Times New Roman" w:cs="Times New Roman"/>
          <w:color w:val="000000"/>
          <w:sz w:val="24"/>
          <w:szCs w:val="24"/>
        </w:rPr>
        <w:t xml:space="preserve"> in this regression model on the basis of the </w:t>
      </w:r>
      <w:r w:rsidRPr="001F1D83">
        <w:rPr>
          <w:rFonts w:ascii="Times New Roman" w:hAnsi="Times New Roman" w:cs="Times New Roman"/>
          <w:color w:val="000000"/>
          <w:sz w:val="24"/>
          <w:szCs w:val="24"/>
        </w:rPr>
        <w:lastRenderedPageBreak/>
        <w:t>absence of Tolerance values on all independent variables less than 0.10 and no Variance Inflation Factor (VIF) value of more than 10 on the five variables</w:t>
      </w:r>
    </w:p>
    <w:p w:rsidR="001F1D83" w:rsidRPr="001F1D83" w:rsidRDefault="001F1D83" w:rsidP="001F1D83">
      <w:pPr>
        <w:pStyle w:val="ListParagraph"/>
        <w:spacing w:line="240" w:lineRule="auto"/>
        <w:ind w:firstLine="720"/>
        <w:jc w:val="both"/>
        <w:rPr>
          <w:rFonts w:ascii="Times New Roman" w:hAnsi="Times New Roman" w:cs="Times New Roman"/>
          <w:color w:val="000000"/>
          <w:sz w:val="24"/>
          <w:szCs w:val="24"/>
        </w:rPr>
      </w:pPr>
    </w:p>
    <w:p w:rsidR="001F1D83" w:rsidRPr="001F1D83" w:rsidRDefault="001F1D83" w:rsidP="001F1D83">
      <w:pPr>
        <w:pStyle w:val="ListParagraph"/>
        <w:numPr>
          <w:ilvl w:val="0"/>
          <w:numId w:val="46"/>
        </w:numPr>
        <w:spacing w:after="200" w:line="240" w:lineRule="auto"/>
        <w:ind w:left="360"/>
        <w:jc w:val="both"/>
        <w:rPr>
          <w:rFonts w:ascii="Times New Roman" w:hAnsi="Times New Roman" w:cs="Times New Roman"/>
          <w:b/>
          <w:sz w:val="24"/>
          <w:szCs w:val="24"/>
        </w:rPr>
      </w:pPr>
      <w:r w:rsidRPr="001F1D83">
        <w:rPr>
          <w:rFonts w:ascii="Times New Roman" w:hAnsi="Times New Roman" w:cs="Times New Roman"/>
          <w:b/>
          <w:bCs/>
          <w:color w:val="000000"/>
          <w:sz w:val="24"/>
          <w:szCs w:val="24"/>
        </w:rPr>
        <w:t>Hypothesis Test</w:t>
      </w:r>
    </w:p>
    <w:p w:rsidR="001F1D83" w:rsidRPr="001F1D83" w:rsidRDefault="001F1D83" w:rsidP="001F1D83">
      <w:pPr>
        <w:pStyle w:val="ListParagraph"/>
        <w:spacing w:line="240" w:lineRule="auto"/>
        <w:ind w:left="0" w:firstLine="720"/>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Basically, hypothesis testing is a proportion or response that is often used as a basis for making decisions / solutions to problems and also for the basis of further research. Hypothesis testing is performed to determine the effect of FDR and FAR on NPF profit sharing. This test uses the t test and F test as follows:</w:t>
      </w:r>
    </w:p>
    <w:p w:rsidR="001F1D83" w:rsidRPr="001F1D83" w:rsidRDefault="001F1D83" w:rsidP="001F1D83">
      <w:pPr>
        <w:pStyle w:val="ListParagraph"/>
        <w:autoSpaceDE w:val="0"/>
        <w:autoSpaceDN w:val="0"/>
        <w:adjustRightInd w:val="0"/>
        <w:spacing w:line="240" w:lineRule="auto"/>
        <w:ind w:left="993" w:hanging="284"/>
        <w:jc w:val="both"/>
        <w:rPr>
          <w:rFonts w:ascii="Times New Roman" w:hAnsi="Times New Roman" w:cs="Times New Roman"/>
          <w:bCs/>
          <w:color w:val="000000"/>
          <w:sz w:val="24"/>
          <w:szCs w:val="24"/>
        </w:rPr>
      </w:pPr>
      <w:proofErr w:type="gramStart"/>
      <w:r w:rsidRPr="001F1D83">
        <w:rPr>
          <w:rFonts w:ascii="Times New Roman" w:hAnsi="Times New Roman" w:cs="Times New Roman"/>
          <w:bCs/>
          <w:color w:val="000000"/>
          <w:sz w:val="24"/>
          <w:szCs w:val="24"/>
        </w:rPr>
        <w:t>a</w:t>
      </w:r>
      <w:proofErr w:type="gramEnd"/>
      <w:r w:rsidRPr="001F1D83">
        <w:rPr>
          <w:rFonts w:ascii="Times New Roman" w:hAnsi="Times New Roman" w:cs="Times New Roman"/>
          <w:bCs/>
          <w:color w:val="000000"/>
          <w:sz w:val="24"/>
          <w:szCs w:val="24"/>
        </w:rPr>
        <w:t>. Partial Test (t test)</w:t>
      </w:r>
    </w:p>
    <w:p w:rsidR="001F1D83" w:rsidRPr="001F1D83" w:rsidRDefault="001F1D83" w:rsidP="001F1D83">
      <w:pPr>
        <w:pStyle w:val="ListParagraph"/>
        <w:autoSpaceDE w:val="0"/>
        <w:autoSpaceDN w:val="0"/>
        <w:adjustRightInd w:val="0"/>
        <w:spacing w:line="240" w:lineRule="auto"/>
        <w:ind w:left="993"/>
        <w:jc w:val="both"/>
        <w:rPr>
          <w:rFonts w:ascii="Times New Roman" w:hAnsi="Times New Roman" w:cs="Times New Roman"/>
          <w:bCs/>
          <w:color w:val="000000"/>
          <w:sz w:val="24"/>
          <w:szCs w:val="24"/>
        </w:rPr>
      </w:pPr>
      <w:r w:rsidRPr="001F1D83">
        <w:rPr>
          <w:rFonts w:ascii="Times New Roman" w:hAnsi="Times New Roman" w:cs="Times New Roman"/>
          <w:bCs/>
          <w:color w:val="000000"/>
          <w:sz w:val="24"/>
          <w:szCs w:val="24"/>
        </w:rPr>
        <w:t>T test is a statistical test that is often encountered in statistical practical problems. T test shows how far the influence of one independent variable individually in explaining the dependent variable. The table presents the results of the t test.</w:t>
      </w:r>
    </w:p>
    <w:p w:rsidR="001F1D83" w:rsidRPr="001F1D83" w:rsidRDefault="001F1D83" w:rsidP="001F1D83">
      <w:pPr>
        <w:spacing w:line="240" w:lineRule="auto"/>
        <w:rPr>
          <w:sz w:val="24"/>
          <w:szCs w:val="24"/>
        </w:rPr>
      </w:pPr>
    </w:p>
    <w:tbl>
      <w:tblPr>
        <w:tblpPr w:leftFromText="180" w:rightFromText="180" w:vertAnchor="text" w:tblpX="993" w:tblpY="1"/>
        <w:tblOverlap w:val="never"/>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87"/>
        <w:gridCol w:w="1073"/>
        <w:gridCol w:w="850"/>
        <w:gridCol w:w="1134"/>
        <w:gridCol w:w="1701"/>
        <w:gridCol w:w="992"/>
        <w:gridCol w:w="587"/>
        <w:gridCol w:w="122"/>
      </w:tblGrid>
      <w:tr w:rsidR="001F1D83" w:rsidRPr="001F1D83" w:rsidTr="00107E57">
        <w:trPr>
          <w:gridAfter w:val="1"/>
          <w:wAfter w:w="122" w:type="dxa"/>
          <w:cantSplit/>
          <w:trHeight w:val="316"/>
        </w:trPr>
        <w:tc>
          <w:tcPr>
            <w:tcW w:w="6824" w:type="dxa"/>
            <w:gridSpan w:val="7"/>
            <w:tcBorders>
              <w:top w:val="nil"/>
              <w:left w:val="nil"/>
              <w:bottom w:val="nil"/>
              <w:right w:val="nil"/>
            </w:tcBorders>
            <w:shd w:val="clear" w:color="auto" w:fill="FFFFFF"/>
            <w:vAlign w:val="center"/>
          </w:tcPr>
          <w:p w:rsidR="001F1D83" w:rsidRPr="001F1D83" w:rsidRDefault="001F1D83" w:rsidP="001F1D83">
            <w:pPr>
              <w:autoSpaceDE w:val="0"/>
              <w:autoSpaceDN w:val="0"/>
              <w:adjustRightInd w:val="0"/>
              <w:spacing w:line="240" w:lineRule="auto"/>
              <w:rPr>
                <w:rFonts w:ascii="Times New Roman" w:hAnsi="Times New Roman" w:cs="Times New Roman"/>
                <w:color w:val="000000"/>
                <w:sz w:val="24"/>
                <w:szCs w:val="24"/>
              </w:rPr>
            </w:pPr>
            <w:r w:rsidRPr="001F1D83">
              <w:rPr>
                <w:rFonts w:ascii="Times New Roman" w:hAnsi="Times New Roman" w:cs="Times New Roman"/>
                <w:color w:val="000000"/>
                <w:sz w:val="24"/>
                <w:szCs w:val="24"/>
              </w:rPr>
              <w:t>Table.6 Test T coefficients</w:t>
            </w:r>
          </w:p>
        </w:tc>
      </w:tr>
      <w:tr w:rsidR="001F1D83" w:rsidRPr="001F1D83" w:rsidTr="00107E57">
        <w:trPr>
          <w:cantSplit/>
          <w:trHeight w:val="631"/>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Model</w:t>
            </w:r>
          </w:p>
        </w:tc>
        <w:tc>
          <w:tcPr>
            <w:tcW w:w="1984" w:type="dxa"/>
            <w:gridSpan w:val="2"/>
            <w:tcBorders>
              <w:top w:val="single" w:sz="16" w:space="0" w:color="000000"/>
              <w:left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1F1D83">
              <w:rPr>
                <w:rFonts w:ascii="Times New Roman" w:hAnsi="Times New Roman" w:cs="Times New Roman"/>
                <w:color w:val="000000"/>
                <w:sz w:val="24"/>
                <w:szCs w:val="24"/>
              </w:rPr>
              <w:t>Unstandardized</w:t>
            </w:r>
            <w:proofErr w:type="spellEnd"/>
            <w:r w:rsidRPr="001F1D83">
              <w:rPr>
                <w:rFonts w:ascii="Times New Roman" w:hAnsi="Times New Roman" w:cs="Times New Roman"/>
                <w:color w:val="000000"/>
                <w:sz w:val="24"/>
                <w:szCs w:val="24"/>
              </w:rPr>
              <w:t xml:space="preserve"> Coefficients</w:t>
            </w:r>
          </w:p>
        </w:tc>
        <w:tc>
          <w:tcPr>
            <w:tcW w:w="1701" w:type="dxa"/>
            <w:tcBorders>
              <w:top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Standardized Coefficients</w:t>
            </w:r>
          </w:p>
        </w:tc>
        <w:tc>
          <w:tcPr>
            <w:tcW w:w="992" w:type="dxa"/>
            <w:vMerge w:val="restart"/>
            <w:tcBorders>
              <w:top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T</w:t>
            </w:r>
          </w:p>
        </w:tc>
        <w:tc>
          <w:tcPr>
            <w:tcW w:w="709" w:type="dxa"/>
            <w:gridSpan w:val="2"/>
            <w:vMerge w:val="restart"/>
            <w:tcBorders>
              <w:top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Sig.</w:t>
            </w:r>
          </w:p>
        </w:tc>
      </w:tr>
      <w:tr w:rsidR="001F1D83" w:rsidRPr="001F1D83" w:rsidTr="00107E57">
        <w:trPr>
          <w:cantSplit/>
          <w:trHeight w:val="141"/>
        </w:trPr>
        <w:tc>
          <w:tcPr>
            <w:tcW w:w="1560" w:type="dxa"/>
            <w:gridSpan w:val="2"/>
            <w:vMerge/>
            <w:tcBorders>
              <w:top w:val="single" w:sz="16" w:space="0" w:color="000000"/>
              <w:left w:val="single" w:sz="16" w:space="0" w:color="000000"/>
              <w:bottom w:val="nil"/>
              <w:right w:val="nil"/>
            </w:tcBorders>
            <w:shd w:val="clear" w:color="auto" w:fill="FFFFFF"/>
            <w:vAlign w:val="bottom"/>
          </w:tcPr>
          <w:p w:rsidR="001F1D83" w:rsidRPr="001F1D83" w:rsidRDefault="001F1D83" w:rsidP="001F1D83">
            <w:pPr>
              <w:autoSpaceDE w:val="0"/>
              <w:autoSpaceDN w:val="0"/>
              <w:adjustRightInd w:val="0"/>
              <w:spacing w:line="240" w:lineRule="auto"/>
              <w:rPr>
                <w:rFonts w:ascii="Times New Roman" w:hAnsi="Times New Roman" w:cs="Times New Roman"/>
                <w:color w:val="000000"/>
                <w:sz w:val="24"/>
                <w:szCs w:val="24"/>
              </w:rPr>
            </w:pPr>
          </w:p>
        </w:tc>
        <w:tc>
          <w:tcPr>
            <w:tcW w:w="850" w:type="dxa"/>
            <w:tcBorders>
              <w:left w:val="single" w:sz="16" w:space="0" w:color="000000"/>
              <w:bottom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B</w:t>
            </w:r>
          </w:p>
        </w:tc>
        <w:tc>
          <w:tcPr>
            <w:tcW w:w="1134" w:type="dxa"/>
            <w:tcBorders>
              <w:bottom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Std. Error</w:t>
            </w:r>
          </w:p>
        </w:tc>
        <w:tc>
          <w:tcPr>
            <w:tcW w:w="1701" w:type="dxa"/>
            <w:tcBorders>
              <w:bottom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Beta</w:t>
            </w:r>
          </w:p>
        </w:tc>
        <w:tc>
          <w:tcPr>
            <w:tcW w:w="992" w:type="dxa"/>
            <w:vMerge/>
            <w:tcBorders>
              <w:top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rPr>
                <w:rFonts w:ascii="Times New Roman" w:hAnsi="Times New Roman" w:cs="Times New Roman"/>
                <w:color w:val="000000"/>
                <w:sz w:val="24"/>
                <w:szCs w:val="24"/>
              </w:rPr>
            </w:pPr>
          </w:p>
        </w:tc>
        <w:tc>
          <w:tcPr>
            <w:tcW w:w="709" w:type="dxa"/>
            <w:gridSpan w:val="2"/>
            <w:vMerge/>
            <w:tcBorders>
              <w:top w:val="single" w:sz="16" w:space="0" w:color="000000"/>
            </w:tcBorders>
            <w:shd w:val="clear" w:color="auto" w:fill="FFFFFF"/>
            <w:vAlign w:val="bottom"/>
          </w:tcPr>
          <w:p w:rsidR="001F1D83" w:rsidRPr="001F1D83" w:rsidRDefault="001F1D83" w:rsidP="001F1D83">
            <w:pPr>
              <w:autoSpaceDE w:val="0"/>
              <w:autoSpaceDN w:val="0"/>
              <w:adjustRightInd w:val="0"/>
              <w:spacing w:line="240" w:lineRule="auto"/>
              <w:rPr>
                <w:rFonts w:ascii="Times New Roman" w:hAnsi="Times New Roman" w:cs="Times New Roman"/>
                <w:color w:val="000000"/>
                <w:sz w:val="24"/>
                <w:szCs w:val="24"/>
              </w:rPr>
            </w:pPr>
          </w:p>
        </w:tc>
      </w:tr>
      <w:tr w:rsidR="001F1D83" w:rsidRPr="001F1D83" w:rsidTr="00107E57">
        <w:trPr>
          <w:cantSplit/>
          <w:trHeight w:val="316"/>
        </w:trPr>
        <w:tc>
          <w:tcPr>
            <w:tcW w:w="487" w:type="dxa"/>
            <w:vMerge w:val="restart"/>
            <w:tcBorders>
              <w:top w:val="single" w:sz="16" w:space="0" w:color="000000"/>
              <w:left w:val="single" w:sz="16" w:space="0" w:color="000000"/>
              <w:bottom w:val="single" w:sz="16" w:space="0" w:color="000000"/>
              <w:right w:val="nil"/>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p>
        </w:tc>
        <w:tc>
          <w:tcPr>
            <w:tcW w:w="1073" w:type="dxa"/>
            <w:tcBorders>
              <w:top w:val="single" w:sz="16" w:space="0" w:color="000000"/>
              <w:left w:val="nil"/>
              <w:bottom w:val="nil"/>
              <w:right w:val="single" w:sz="16" w:space="0" w:color="000000"/>
            </w:tcBorders>
            <w:shd w:val="clear" w:color="auto" w:fill="FFFFFF"/>
          </w:tcPr>
          <w:p w:rsidR="001F1D83" w:rsidRPr="001F1D83" w:rsidRDefault="001F1D83" w:rsidP="001F1D83">
            <w:pPr>
              <w:autoSpaceDE w:val="0"/>
              <w:autoSpaceDN w:val="0"/>
              <w:adjustRightInd w:val="0"/>
              <w:spacing w:line="240" w:lineRule="auto"/>
              <w:ind w:right="60" w:firstLine="16"/>
              <w:rPr>
                <w:rFonts w:ascii="Times New Roman" w:hAnsi="Times New Roman" w:cs="Times New Roman"/>
                <w:color w:val="000000"/>
                <w:sz w:val="24"/>
                <w:szCs w:val="24"/>
              </w:rPr>
            </w:pPr>
            <w:r w:rsidRPr="001F1D83">
              <w:rPr>
                <w:rFonts w:ascii="Times New Roman" w:hAnsi="Times New Roman" w:cs="Times New Roman"/>
                <w:color w:val="000000"/>
                <w:sz w:val="24"/>
                <w:szCs w:val="24"/>
              </w:rPr>
              <w:t>(Constant)</w:t>
            </w:r>
          </w:p>
        </w:tc>
        <w:tc>
          <w:tcPr>
            <w:tcW w:w="850" w:type="dxa"/>
            <w:tcBorders>
              <w:top w:val="single" w:sz="16" w:space="0" w:color="000000"/>
              <w:left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-24,101</w:t>
            </w:r>
          </w:p>
        </w:tc>
        <w:tc>
          <w:tcPr>
            <w:tcW w:w="1134"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39,008</w:t>
            </w:r>
          </w:p>
        </w:tc>
        <w:tc>
          <w:tcPr>
            <w:tcW w:w="1701"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-,618</w:t>
            </w:r>
          </w:p>
        </w:tc>
        <w:tc>
          <w:tcPr>
            <w:tcW w:w="709" w:type="dxa"/>
            <w:gridSpan w:val="2"/>
            <w:tcBorders>
              <w:top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,648</w:t>
            </w:r>
          </w:p>
        </w:tc>
      </w:tr>
      <w:tr w:rsidR="001F1D83" w:rsidRPr="001F1D83" w:rsidTr="00107E57">
        <w:trPr>
          <w:cantSplit/>
          <w:trHeight w:val="141"/>
        </w:trPr>
        <w:tc>
          <w:tcPr>
            <w:tcW w:w="487" w:type="dxa"/>
            <w:vMerge/>
            <w:tcBorders>
              <w:top w:val="single" w:sz="16" w:space="0" w:color="000000"/>
              <w:left w:val="single" w:sz="16" w:space="0" w:color="000000"/>
              <w:bottom w:val="single" w:sz="16" w:space="0" w:color="000000"/>
              <w:right w:val="nil"/>
            </w:tcBorders>
            <w:shd w:val="clear" w:color="auto" w:fill="FFFFFF"/>
          </w:tcPr>
          <w:p w:rsidR="001F1D83" w:rsidRPr="001F1D83" w:rsidRDefault="001F1D83" w:rsidP="001F1D83">
            <w:pPr>
              <w:autoSpaceDE w:val="0"/>
              <w:autoSpaceDN w:val="0"/>
              <w:adjustRightInd w:val="0"/>
              <w:spacing w:line="240" w:lineRule="auto"/>
              <w:rPr>
                <w:rFonts w:ascii="Times New Roman" w:hAnsi="Times New Roman" w:cs="Times New Roman"/>
                <w:sz w:val="24"/>
                <w:szCs w:val="24"/>
              </w:rPr>
            </w:pPr>
          </w:p>
        </w:tc>
        <w:tc>
          <w:tcPr>
            <w:tcW w:w="1073" w:type="dxa"/>
            <w:tcBorders>
              <w:top w:val="nil"/>
              <w:left w:val="nil"/>
              <w:bottom w:val="nil"/>
              <w:right w:val="single" w:sz="16" w:space="0" w:color="000000"/>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FDR</w:t>
            </w:r>
          </w:p>
        </w:tc>
        <w:tc>
          <w:tcPr>
            <w:tcW w:w="850" w:type="dxa"/>
            <w:tcBorders>
              <w:top w:val="nil"/>
              <w:left w:val="single" w:sz="16" w:space="0" w:color="000000"/>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,314</w:t>
            </w:r>
          </w:p>
        </w:tc>
        <w:tc>
          <w:tcPr>
            <w:tcW w:w="1134" w:type="dxa"/>
            <w:tcBorders>
              <w:top w:val="nil"/>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,256</w:t>
            </w:r>
          </w:p>
        </w:tc>
        <w:tc>
          <w:tcPr>
            <w:tcW w:w="1701" w:type="dxa"/>
            <w:tcBorders>
              <w:top w:val="nil"/>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,948</w:t>
            </w:r>
          </w:p>
        </w:tc>
        <w:tc>
          <w:tcPr>
            <w:tcW w:w="992" w:type="dxa"/>
            <w:tcBorders>
              <w:top w:val="nil"/>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1,229</w:t>
            </w:r>
          </w:p>
        </w:tc>
        <w:tc>
          <w:tcPr>
            <w:tcW w:w="709" w:type="dxa"/>
            <w:gridSpan w:val="2"/>
            <w:tcBorders>
              <w:top w:val="nil"/>
              <w:bottom w:val="nil"/>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,435</w:t>
            </w:r>
          </w:p>
        </w:tc>
      </w:tr>
      <w:tr w:rsidR="001F1D83" w:rsidRPr="001F1D83" w:rsidTr="00107E57">
        <w:trPr>
          <w:cantSplit/>
          <w:trHeight w:val="141"/>
        </w:trPr>
        <w:tc>
          <w:tcPr>
            <w:tcW w:w="487" w:type="dxa"/>
            <w:vMerge/>
            <w:tcBorders>
              <w:top w:val="single" w:sz="16" w:space="0" w:color="000000"/>
              <w:left w:val="single" w:sz="16" w:space="0" w:color="000000"/>
              <w:bottom w:val="single" w:sz="16" w:space="0" w:color="000000"/>
              <w:right w:val="nil"/>
            </w:tcBorders>
            <w:shd w:val="clear" w:color="auto" w:fill="FFFFFF"/>
          </w:tcPr>
          <w:p w:rsidR="001F1D83" w:rsidRPr="001F1D83" w:rsidRDefault="001F1D83" w:rsidP="001F1D83">
            <w:pPr>
              <w:autoSpaceDE w:val="0"/>
              <w:autoSpaceDN w:val="0"/>
              <w:adjustRightInd w:val="0"/>
              <w:spacing w:line="240" w:lineRule="auto"/>
              <w:rPr>
                <w:rFonts w:ascii="Times New Roman" w:hAnsi="Times New Roman" w:cs="Times New Roman"/>
                <w:color w:val="000000"/>
                <w:sz w:val="24"/>
                <w:szCs w:val="24"/>
              </w:rPr>
            </w:pPr>
          </w:p>
        </w:tc>
        <w:tc>
          <w:tcPr>
            <w:tcW w:w="1073" w:type="dxa"/>
            <w:tcBorders>
              <w:top w:val="nil"/>
              <w:left w:val="nil"/>
              <w:bottom w:val="single" w:sz="16" w:space="0" w:color="000000"/>
              <w:right w:val="single" w:sz="16" w:space="0" w:color="000000"/>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FAR</w:t>
            </w:r>
          </w:p>
        </w:tc>
        <w:tc>
          <w:tcPr>
            <w:tcW w:w="850" w:type="dxa"/>
            <w:tcBorders>
              <w:top w:val="nil"/>
              <w:left w:val="single" w:sz="16" w:space="0" w:color="000000"/>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,063</w:t>
            </w:r>
          </w:p>
        </w:tc>
        <w:tc>
          <w:tcPr>
            <w:tcW w:w="1134"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,311</w:t>
            </w:r>
          </w:p>
        </w:tc>
        <w:tc>
          <w:tcPr>
            <w:tcW w:w="1701"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,156</w:t>
            </w:r>
          </w:p>
        </w:tc>
        <w:tc>
          <w:tcPr>
            <w:tcW w:w="992" w:type="dxa"/>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,202</w:t>
            </w:r>
          </w:p>
        </w:tc>
        <w:tc>
          <w:tcPr>
            <w:tcW w:w="709" w:type="dxa"/>
            <w:gridSpan w:val="2"/>
            <w:tcBorders>
              <w:top w:val="nil"/>
              <w:bottom w:val="single" w:sz="16" w:space="0" w:color="000000"/>
            </w:tcBorders>
            <w:shd w:val="clear" w:color="auto" w:fill="FFFFFF"/>
            <w:vAlign w:val="center"/>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,873</w:t>
            </w:r>
          </w:p>
        </w:tc>
      </w:tr>
      <w:tr w:rsidR="001F1D83" w:rsidRPr="001F1D83" w:rsidTr="00107E57">
        <w:trPr>
          <w:gridAfter w:val="1"/>
          <w:wAfter w:w="122" w:type="dxa"/>
          <w:cantSplit/>
          <w:trHeight w:val="316"/>
        </w:trPr>
        <w:tc>
          <w:tcPr>
            <w:tcW w:w="6824" w:type="dxa"/>
            <w:gridSpan w:val="7"/>
            <w:tcBorders>
              <w:top w:val="nil"/>
              <w:left w:val="nil"/>
              <w:bottom w:val="nil"/>
              <w:right w:val="nil"/>
            </w:tcBorders>
            <w:shd w:val="clear" w:color="auto" w:fill="FFFFFF"/>
          </w:tcPr>
          <w:p w:rsidR="001F1D83" w:rsidRPr="001F1D83" w:rsidRDefault="001F1D83" w:rsidP="001F1D83">
            <w:pPr>
              <w:autoSpaceDE w:val="0"/>
              <w:autoSpaceDN w:val="0"/>
              <w:adjustRightInd w:val="0"/>
              <w:spacing w:line="240" w:lineRule="auto"/>
              <w:ind w:left="60" w:right="60"/>
              <w:rPr>
                <w:rFonts w:ascii="Times New Roman" w:hAnsi="Times New Roman" w:cs="Times New Roman"/>
                <w:color w:val="000000"/>
                <w:sz w:val="24"/>
                <w:szCs w:val="24"/>
              </w:rPr>
            </w:pPr>
            <w:r w:rsidRPr="001F1D83">
              <w:rPr>
                <w:rFonts w:ascii="Times New Roman" w:hAnsi="Times New Roman" w:cs="Times New Roman"/>
                <w:color w:val="000000"/>
                <w:sz w:val="24"/>
                <w:szCs w:val="24"/>
              </w:rPr>
              <w:t>a. Dependent Variable: NPF</w:t>
            </w:r>
          </w:p>
        </w:tc>
      </w:tr>
    </w:tbl>
    <w:p w:rsidR="001F1D83" w:rsidRPr="001F1D83" w:rsidRDefault="001F1D83" w:rsidP="001F1D83">
      <w:pPr>
        <w:pStyle w:val="ListParagraph"/>
        <w:spacing w:line="240" w:lineRule="auto"/>
        <w:ind w:left="993"/>
        <w:jc w:val="both"/>
        <w:rPr>
          <w:rFonts w:ascii="Times New Roman" w:hAnsi="Times New Roman" w:cs="Times New Roman"/>
          <w:b/>
          <w:sz w:val="24"/>
          <w:szCs w:val="24"/>
        </w:rPr>
      </w:pPr>
    </w:p>
    <w:p w:rsidR="001F1D83" w:rsidRPr="001F1D83" w:rsidRDefault="001F1D83" w:rsidP="001F1D83">
      <w:pPr>
        <w:pStyle w:val="ListParagraph"/>
        <w:spacing w:line="240" w:lineRule="auto"/>
        <w:ind w:left="993"/>
        <w:jc w:val="both"/>
        <w:rPr>
          <w:rFonts w:ascii="Times New Roman" w:hAnsi="Times New Roman" w:cs="Times New Roman"/>
          <w:b/>
          <w:sz w:val="24"/>
          <w:szCs w:val="24"/>
        </w:rPr>
      </w:pPr>
    </w:p>
    <w:p w:rsidR="001F1D83" w:rsidRPr="001F1D83" w:rsidRDefault="001F1D83" w:rsidP="001F1D83">
      <w:pPr>
        <w:pStyle w:val="ListParagraph"/>
        <w:spacing w:line="240" w:lineRule="auto"/>
        <w:ind w:left="993"/>
        <w:jc w:val="both"/>
        <w:rPr>
          <w:rFonts w:ascii="Times New Roman" w:hAnsi="Times New Roman" w:cs="Times New Roman"/>
          <w:b/>
          <w:sz w:val="24"/>
          <w:szCs w:val="24"/>
        </w:rPr>
      </w:pPr>
    </w:p>
    <w:p w:rsidR="001F1D83" w:rsidRPr="001F1D83" w:rsidRDefault="001F1D83" w:rsidP="001F1D83">
      <w:pPr>
        <w:pStyle w:val="ListParagraph"/>
        <w:spacing w:line="240" w:lineRule="auto"/>
        <w:ind w:left="993"/>
        <w:jc w:val="both"/>
        <w:rPr>
          <w:rFonts w:ascii="Times New Roman" w:hAnsi="Times New Roman" w:cs="Times New Roman"/>
          <w:b/>
          <w:sz w:val="24"/>
          <w:szCs w:val="24"/>
        </w:rPr>
      </w:pPr>
    </w:p>
    <w:p w:rsidR="001F1D83" w:rsidRPr="001F1D83" w:rsidRDefault="001F1D83" w:rsidP="001F1D83">
      <w:pPr>
        <w:pStyle w:val="ListParagraph"/>
        <w:spacing w:line="240" w:lineRule="auto"/>
        <w:ind w:left="993"/>
        <w:jc w:val="both"/>
        <w:rPr>
          <w:rFonts w:ascii="Times New Roman" w:hAnsi="Times New Roman" w:cs="Times New Roman"/>
          <w:b/>
          <w:sz w:val="24"/>
          <w:szCs w:val="24"/>
        </w:rPr>
      </w:pPr>
    </w:p>
    <w:p w:rsidR="001F1D83" w:rsidRPr="001F1D83" w:rsidRDefault="001F1D83" w:rsidP="001F1D83">
      <w:pPr>
        <w:pStyle w:val="ListParagraph"/>
        <w:spacing w:line="240" w:lineRule="auto"/>
        <w:ind w:left="993"/>
        <w:jc w:val="both"/>
        <w:rPr>
          <w:rFonts w:ascii="Times New Roman" w:hAnsi="Times New Roman" w:cs="Times New Roman"/>
          <w:b/>
          <w:sz w:val="24"/>
          <w:szCs w:val="24"/>
        </w:rPr>
      </w:pPr>
    </w:p>
    <w:p w:rsidR="001F1D83" w:rsidRPr="001F1D83" w:rsidRDefault="001F1D83" w:rsidP="001F1D83">
      <w:pPr>
        <w:pStyle w:val="ListParagraph"/>
        <w:autoSpaceDE w:val="0"/>
        <w:autoSpaceDN w:val="0"/>
        <w:adjustRightInd w:val="0"/>
        <w:spacing w:line="240" w:lineRule="auto"/>
        <w:ind w:left="993" w:firstLine="567"/>
        <w:jc w:val="both"/>
        <w:rPr>
          <w:rFonts w:ascii="Times New Roman" w:hAnsi="Times New Roman" w:cs="Times New Roman"/>
          <w:color w:val="000000"/>
          <w:sz w:val="24"/>
          <w:szCs w:val="24"/>
        </w:rPr>
      </w:pPr>
      <w:proofErr w:type="spellStart"/>
      <w:r w:rsidRPr="001F1D83">
        <w:rPr>
          <w:rFonts w:ascii="Times New Roman" w:hAnsi="Times New Roman" w:cs="Times New Roman"/>
          <w:color w:val="000000"/>
          <w:sz w:val="24"/>
          <w:szCs w:val="24"/>
        </w:rPr>
        <w:t>ApaB</w:t>
      </w:r>
      <w:proofErr w:type="spellEnd"/>
    </w:p>
    <w:p w:rsidR="001F1D83" w:rsidRPr="001F1D83" w:rsidRDefault="001F1D83" w:rsidP="001F1D83">
      <w:pPr>
        <w:pStyle w:val="ListParagraph"/>
        <w:autoSpaceDE w:val="0"/>
        <w:autoSpaceDN w:val="0"/>
        <w:adjustRightInd w:val="0"/>
        <w:spacing w:line="240" w:lineRule="auto"/>
        <w:ind w:left="0" w:firstLine="567"/>
        <w:jc w:val="both"/>
        <w:rPr>
          <w:rFonts w:ascii="Times New Roman" w:hAnsi="Times New Roman" w:cs="Times New Roman"/>
          <w:color w:val="000000"/>
          <w:sz w:val="24"/>
          <w:szCs w:val="24"/>
        </w:rPr>
      </w:pPr>
    </w:p>
    <w:p w:rsidR="001F1D83" w:rsidRPr="001F1D83" w:rsidRDefault="001F1D83" w:rsidP="001F1D83">
      <w:pPr>
        <w:pStyle w:val="ListParagraph"/>
        <w:autoSpaceDE w:val="0"/>
        <w:autoSpaceDN w:val="0"/>
        <w:adjustRightInd w:val="0"/>
        <w:spacing w:line="240" w:lineRule="auto"/>
        <w:ind w:left="0" w:firstLine="567"/>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If </w:t>
      </w:r>
      <w:proofErr w:type="spellStart"/>
      <w:r w:rsidRPr="001F1D83">
        <w:rPr>
          <w:rFonts w:ascii="Times New Roman" w:hAnsi="Times New Roman" w:cs="Times New Roman"/>
          <w:color w:val="000000"/>
          <w:sz w:val="24"/>
          <w:szCs w:val="24"/>
        </w:rPr>
        <w:t>tcount</w:t>
      </w:r>
      <w:proofErr w:type="spellEnd"/>
      <w:r w:rsidRPr="001F1D83">
        <w:rPr>
          <w:rFonts w:ascii="Times New Roman" w:hAnsi="Times New Roman" w:cs="Times New Roman"/>
          <w:color w:val="000000"/>
          <w:sz w:val="24"/>
          <w:szCs w:val="24"/>
        </w:rPr>
        <w:t xml:space="preserve">&gt; </w:t>
      </w:r>
      <w:proofErr w:type="spellStart"/>
      <w:r w:rsidRPr="001F1D83">
        <w:rPr>
          <w:rFonts w:ascii="Times New Roman" w:hAnsi="Times New Roman" w:cs="Times New Roman"/>
          <w:color w:val="000000"/>
          <w:sz w:val="24"/>
          <w:szCs w:val="24"/>
        </w:rPr>
        <w:t>ttable</w:t>
      </w:r>
      <w:proofErr w:type="spellEnd"/>
      <w:r w:rsidRPr="001F1D83">
        <w:rPr>
          <w:rFonts w:ascii="Times New Roman" w:hAnsi="Times New Roman" w:cs="Times New Roman"/>
          <w:color w:val="000000"/>
          <w:sz w:val="24"/>
          <w:szCs w:val="24"/>
        </w:rPr>
        <w:t>, it means that H0 is rejected and H1 is accepted, meaning that the independent variable (X) partially has a significant relationship to the dependent variable (Y). And vice versa, if t arithmetic &lt;t table, it means that H0 is accepted and H1 is rejected, meaning that there is no influence between the independent variables on the dependent variable. By using a 95% confidence level or α = 0.05, and 4 data (n = 4), a table of 12, 70620 can be generated. The following is the interpretation of testing the hypothesis of the independent variable on the dependent variable through the t test in this study:</w:t>
      </w:r>
    </w:p>
    <w:p w:rsidR="001F1D83" w:rsidRPr="001F1D83" w:rsidRDefault="001F1D83" w:rsidP="001F1D83">
      <w:pPr>
        <w:autoSpaceDE w:val="0"/>
        <w:autoSpaceDN w:val="0"/>
        <w:adjustRightInd w:val="0"/>
        <w:spacing w:line="240" w:lineRule="auto"/>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1. </w:t>
      </w:r>
      <w:r w:rsidRPr="001F1D83">
        <w:rPr>
          <w:rFonts w:ascii="Times New Roman" w:hAnsi="Times New Roman" w:cs="Times New Roman"/>
          <w:b/>
          <w:color w:val="000000"/>
          <w:sz w:val="24"/>
          <w:szCs w:val="24"/>
        </w:rPr>
        <w:t>Effect of FDR on NPF</w:t>
      </w:r>
    </w:p>
    <w:p w:rsidR="001F1D83" w:rsidRPr="001F1D83" w:rsidRDefault="001F1D83" w:rsidP="001F1D83">
      <w:pPr>
        <w:autoSpaceDE w:val="0"/>
        <w:autoSpaceDN w:val="0"/>
        <w:adjustRightInd w:val="0"/>
        <w:spacing w:line="240" w:lineRule="auto"/>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 xml:space="preserve">Based on Table 6, it is known that the tally of the FDR variable is 1,229 with a significance level of 0.435&gt; 0.05 meaning that H0 is accepted and H1 is rejected. Because the </w:t>
      </w:r>
      <w:proofErr w:type="spellStart"/>
      <w:r w:rsidRPr="001F1D83">
        <w:rPr>
          <w:rFonts w:ascii="Times New Roman" w:hAnsi="Times New Roman" w:cs="Times New Roman"/>
          <w:color w:val="000000"/>
          <w:sz w:val="24"/>
          <w:szCs w:val="24"/>
        </w:rPr>
        <w:t>tcount</w:t>
      </w:r>
      <w:proofErr w:type="spellEnd"/>
      <w:r w:rsidRPr="001F1D83">
        <w:rPr>
          <w:rFonts w:ascii="Times New Roman" w:hAnsi="Times New Roman" w:cs="Times New Roman"/>
          <w:color w:val="000000"/>
          <w:sz w:val="24"/>
          <w:szCs w:val="24"/>
        </w:rPr>
        <w:t xml:space="preserve"> of 1.222 is smaller than </w:t>
      </w:r>
      <w:proofErr w:type="spellStart"/>
      <w:r w:rsidRPr="001F1D83">
        <w:rPr>
          <w:rFonts w:ascii="Times New Roman" w:hAnsi="Times New Roman" w:cs="Times New Roman"/>
          <w:color w:val="000000"/>
          <w:sz w:val="24"/>
          <w:szCs w:val="24"/>
        </w:rPr>
        <w:t>ttable</w:t>
      </w:r>
      <w:proofErr w:type="spellEnd"/>
      <w:r w:rsidRPr="001F1D83">
        <w:rPr>
          <w:rFonts w:ascii="Times New Roman" w:hAnsi="Times New Roman" w:cs="Times New Roman"/>
          <w:color w:val="000000"/>
          <w:sz w:val="24"/>
          <w:szCs w:val="24"/>
        </w:rPr>
        <w:t xml:space="preserve"> or 1.222&gt; 12.70620, it can be concluded that the FDR has no influence on the NPF.</w:t>
      </w:r>
    </w:p>
    <w:p w:rsidR="004E1C38" w:rsidRDefault="004E1C38" w:rsidP="001F1D83">
      <w:pPr>
        <w:spacing w:line="240" w:lineRule="auto"/>
        <w:jc w:val="both"/>
        <w:rPr>
          <w:rFonts w:ascii="Times New Roman" w:hAnsi="Times New Roman" w:cs="Times New Roman"/>
          <w:color w:val="000000"/>
          <w:sz w:val="24"/>
          <w:szCs w:val="24"/>
        </w:rPr>
      </w:pPr>
    </w:p>
    <w:p w:rsidR="004E1C38" w:rsidRDefault="004E1C38" w:rsidP="001F1D83">
      <w:pPr>
        <w:spacing w:line="240" w:lineRule="auto"/>
        <w:jc w:val="both"/>
        <w:rPr>
          <w:rFonts w:ascii="Times New Roman" w:hAnsi="Times New Roman" w:cs="Times New Roman"/>
          <w:color w:val="000000"/>
          <w:sz w:val="24"/>
          <w:szCs w:val="24"/>
        </w:rPr>
      </w:pPr>
    </w:p>
    <w:p w:rsidR="001F1D83" w:rsidRPr="001F1D83" w:rsidRDefault="001F1D83" w:rsidP="001F1D83">
      <w:pPr>
        <w:spacing w:line="240" w:lineRule="auto"/>
        <w:jc w:val="both"/>
        <w:rPr>
          <w:rFonts w:ascii="Times New Roman" w:hAnsi="Times New Roman" w:cs="Times New Roman"/>
          <w:b/>
          <w:color w:val="000000"/>
          <w:sz w:val="24"/>
          <w:szCs w:val="24"/>
        </w:rPr>
      </w:pPr>
      <w:r w:rsidRPr="001F1D83">
        <w:rPr>
          <w:rFonts w:ascii="Times New Roman" w:hAnsi="Times New Roman" w:cs="Times New Roman"/>
          <w:color w:val="000000"/>
          <w:sz w:val="24"/>
          <w:szCs w:val="24"/>
        </w:rPr>
        <w:lastRenderedPageBreak/>
        <w:t xml:space="preserve">2. </w:t>
      </w:r>
      <w:r w:rsidRPr="001F1D83">
        <w:rPr>
          <w:rFonts w:ascii="Times New Roman" w:hAnsi="Times New Roman" w:cs="Times New Roman"/>
          <w:b/>
          <w:color w:val="000000"/>
          <w:sz w:val="24"/>
          <w:szCs w:val="24"/>
        </w:rPr>
        <w:t>Effect of FAR on NPF</w:t>
      </w:r>
    </w:p>
    <w:p w:rsidR="001F1D83" w:rsidRPr="001F1D83" w:rsidRDefault="001F1D83" w:rsidP="001F1D83">
      <w:pPr>
        <w:spacing w:line="240" w:lineRule="auto"/>
        <w:jc w:val="both"/>
        <w:rPr>
          <w:rFonts w:ascii="Times New Roman" w:hAnsi="Times New Roman" w:cs="Times New Roman"/>
          <w:color w:val="000000"/>
          <w:sz w:val="24"/>
          <w:szCs w:val="24"/>
        </w:rPr>
      </w:pPr>
      <w:r w:rsidRPr="001F1D83">
        <w:rPr>
          <w:rFonts w:ascii="Times New Roman" w:hAnsi="Times New Roman" w:cs="Times New Roman"/>
          <w:color w:val="000000"/>
          <w:sz w:val="24"/>
          <w:szCs w:val="24"/>
        </w:rPr>
        <w:t>Based on Table 4.7 it is known that the table of FAR variable is 0.202 with a significance level of 0.873 &lt;0.05, which means that Ho is accepted and H1 is rejected. Because the t-value of 2.507 is greater than the table or 0.202&gt; 12.70620, it can be concluded that FAR has no effect on NPF.</w:t>
      </w:r>
    </w:p>
    <w:p w:rsidR="001F1D83" w:rsidRPr="001F1D83" w:rsidRDefault="001F1D83" w:rsidP="001F1D83">
      <w:pPr>
        <w:pStyle w:val="ListParagraph"/>
        <w:spacing w:line="240" w:lineRule="auto"/>
        <w:ind w:left="0"/>
        <w:jc w:val="both"/>
        <w:rPr>
          <w:rFonts w:ascii="Times New Roman" w:hAnsi="Times New Roman" w:cs="Times New Roman"/>
          <w:b/>
          <w:color w:val="000000"/>
          <w:sz w:val="24"/>
          <w:szCs w:val="24"/>
        </w:rPr>
      </w:pPr>
      <w:r w:rsidRPr="001F1D83">
        <w:rPr>
          <w:rFonts w:ascii="Times New Roman" w:hAnsi="Times New Roman" w:cs="Times New Roman"/>
          <w:b/>
          <w:color w:val="000000"/>
          <w:sz w:val="24"/>
          <w:szCs w:val="24"/>
        </w:rPr>
        <w:t>Discussion</w:t>
      </w:r>
    </w:p>
    <w:p w:rsidR="001F1D83" w:rsidRPr="001F1D83" w:rsidRDefault="001F1D83" w:rsidP="001F1D83">
      <w:pPr>
        <w:spacing w:line="240" w:lineRule="auto"/>
        <w:jc w:val="both"/>
        <w:rPr>
          <w:rFonts w:ascii="Times New Roman" w:hAnsi="Times New Roman" w:cs="Times New Roman"/>
          <w:sz w:val="24"/>
          <w:szCs w:val="24"/>
        </w:rPr>
      </w:pPr>
      <w:r w:rsidRPr="001F1D83">
        <w:rPr>
          <w:rFonts w:ascii="Times New Roman" w:hAnsi="Times New Roman" w:cs="Times New Roman"/>
          <w:sz w:val="24"/>
          <w:szCs w:val="24"/>
        </w:rPr>
        <w:t xml:space="preserve">Based on the results of the discussion and research on the influence of Financing to </w:t>
      </w:r>
      <w:proofErr w:type="spellStart"/>
      <w:r w:rsidRPr="001F1D83">
        <w:rPr>
          <w:rFonts w:ascii="Times New Roman" w:hAnsi="Times New Roman" w:cs="Times New Roman"/>
          <w:sz w:val="24"/>
          <w:szCs w:val="24"/>
        </w:rPr>
        <w:t>Depoti</w:t>
      </w:r>
      <w:proofErr w:type="spellEnd"/>
      <w:r w:rsidRPr="001F1D83">
        <w:rPr>
          <w:rFonts w:ascii="Times New Roman" w:hAnsi="Times New Roman" w:cs="Times New Roman"/>
          <w:sz w:val="24"/>
          <w:szCs w:val="24"/>
        </w:rPr>
        <w:t xml:space="preserve"> Ratio (FDR), the effect of Financing to Asset Ratio (FAR) on Non-</w:t>
      </w:r>
      <w:proofErr w:type="spellStart"/>
      <w:r w:rsidRPr="001F1D83">
        <w:rPr>
          <w:rFonts w:ascii="Times New Roman" w:hAnsi="Times New Roman" w:cs="Times New Roman"/>
          <w:sz w:val="24"/>
          <w:szCs w:val="24"/>
        </w:rPr>
        <w:t>Peforming</w:t>
      </w:r>
      <w:proofErr w:type="spellEnd"/>
      <w:r w:rsidRPr="001F1D83">
        <w:rPr>
          <w:rFonts w:ascii="Times New Roman" w:hAnsi="Times New Roman" w:cs="Times New Roman"/>
          <w:sz w:val="24"/>
          <w:szCs w:val="24"/>
        </w:rPr>
        <w:t xml:space="preserve"> Financing (NPF) in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Branch of Makassar City, the following conclusions can be drawn:</w:t>
      </w:r>
    </w:p>
    <w:p w:rsidR="001F1D83" w:rsidRPr="001F1D83" w:rsidRDefault="001F1D83" w:rsidP="001F1D83">
      <w:pPr>
        <w:spacing w:line="240" w:lineRule="auto"/>
        <w:ind w:left="284" w:hanging="284"/>
        <w:jc w:val="both"/>
        <w:rPr>
          <w:rFonts w:ascii="Times New Roman" w:hAnsi="Times New Roman" w:cs="Times New Roman"/>
          <w:sz w:val="24"/>
          <w:szCs w:val="24"/>
        </w:rPr>
      </w:pPr>
      <w:r w:rsidRPr="001F1D83">
        <w:rPr>
          <w:rFonts w:ascii="Times New Roman" w:hAnsi="Times New Roman" w:cs="Times New Roman"/>
          <w:sz w:val="24"/>
          <w:szCs w:val="24"/>
        </w:rPr>
        <w:t xml:space="preserve">1. Partially the Financing to Deposit Ratio (FDR) (X1) variable has no effect on the Non </w:t>
      </w:r>
      <w:proofErr w:type="spellStart"/>
      <w:r w:rsidRPr="001F1D83">
        <w:rPr>
          <w:rFonts w:ascii="Times New Roman" w:hAnsi="Times New Roman" w:cs="Times New Roman"/>
          <w:sz w:val="24"/>
          <w:szCs w:val="24"/>
        </w:rPr>
        <w:t>Peforming</w:t>
      </w:r>
      <w:proofErr w:type="spellEnd"/>
      <w:r w:rsidRPr="001F1D83">
        <w:rPr>
          <w:rFonts w:ascii="Times New Roman" w:hAnsi="Times New Roman" w:cs="Times New Roman"/>
          <w:sz w:val="24"/>
          <w:szCs w:val="24"/>
        </w:rPr>
        <w:t xml:space="preserve"> Financing (YF) variable (Y) has been proven from the t test which shows that based on Table 4.6 it is known that the FDR variable is 1.222 with a significance level of 0.435 &lt; 0.05 means that Ho is accepted and H1 is rejected. Because the </w:t>
      </w:r>
      <w:proofErr w:type="spellStart"/>
      <w:r w:rsidRPr="001F1D83">
        <w:rPr>
          <w:rFonts w:ascii="Times New Roman" w:hAnsi="Times New Roman" w:cs="Times New Roman"/>
          <w:sz w:val="24"/>
          <w:szCs w:val="24"/>
        </w:rPr>
        <w:t>tcount</w:t>
      </w:r>
      <w:proofErr w:type="spellEnd"/>
      <w:r w:rsidRPr="001F1D83">
        <w:rPr>
          <w:rFonts w:ascii="Times New Roman" w:hAnsi="Times New Roman" w:cs="Times New Roman"/>
          <w:sz w:val="24"/>
          <w:szCs w:val="24"/>
        </w:rPr>
        <w:t xml:space="preserve"> of 1.222 is smaller than </w:t>
      </w:r>
      <w:proofErr w:type="spellStart"/>
      <w:r w:rsidRPr="001F1D83">
        <w:rPr>
          <w:rFonts w:ascii="Times New Roman" w:hAnsi="Times New Roman" w:cs="Times New Roman"/>
          <w:sz w:val="24"/>
          <w:szCs w:val="24"/>
        </w:rPr>
        <w:t>ttable</w:t>
      </w:r>
      <w:proofErr w:type="spellEnd"/>
      <w:r w:rsidRPr="001F1D83">
        <w:rPr>
          <w:rFonts w:ascii="Times New Roman" w:hAnsi="Times New Roman" w:cs="Times New Roman"/>
          <w:sz w:val="24"/>
          <w:szCs w:val="24"/>
        </w:rPr>
        <w:t xml:space="preserve"> or 1.222&gt; 12.70620, it can be concluded that the FDR has no influence on the NPF.</w:t>
      </w:r>
    </w:p>
    <w:p w:rsidR="001F1D83" w:rsidRPr="001F1D83" w:rsidRDefault="001F1D83" w:rsidP="001F1D83">
      <w:pPr>
        <w:spacing w:line="240" w:lineRule="auto"/>
        <w:ind w:left="284" w:hanging="284"/>
        <w:jc w:val="both"/>
        <w:rPr>
          <w:rFonts w:ascii="Times New Roman" w:hAnsi="Times New Roman" w:cs="Times New Roman"/>
          <w:sz w:val="24"/>
          <w:szCs w:val="24"/>
        </w:rPr>
      </w:pPr>
      <w:r w:rsidRPr="001F1D83">
        <w:rPr>
          <w:rFonts w:ascii="Times New Roman" w:hAnsi="Times New Roman" w:cs="Times New Roman"/>
          <w:sz w:val="24"/>
          <w:szCs w:val="24"/>
        </w:rPr>
        <w:t xml:space="preserve">2. Partially the Financing to Asset Ratio (FAR) (X2) variable does not affect the Non </w:t>
      </w:r>
      <w:proofErr w:type="spellStart"/>
      <w:r w:rsidRPr="001F1D83">
        <w:rPr>
          <w:rFonts w:ascii="Times New Roman" w:hAnsi="Times New Roman" w:cs="Times New Roman"/>
          <w:sz w:val="24"/>
          <w:szCs w:val="24"/>
        </w:rPr>
        <w:t>Peforming</w:t>
      </w:r>
      <w:proofErr w:type="spellEnd"/>
      <w:r w:rsidRPr="001F1D83">
        <w:rPr>
          <w:rFonts w:ascii="Times New Roman" w:hAnsi="Times New Roman" w:cs="Times New Roman"/>
          <w:sz w:val="24"/>
          <w:szCs w:val="24"/>
        </w:rPr>
        <w:t xml:space="preserve"> Financing (NPF) variable (Y) has been proven from the t test shows that Based on Table 4.6 it is known that the table of the FAR variable is 0.202 with a significance level of 0.873 &lt;0 05 means that Ho is accepted and H1 is rejected. Because the t-value of 2.507 is greater than the table or 0.202&gt; 12.70620, it can be concluded that FAR has no effect on NPF.</w:t>
      </w:r>
    </w:p>
    <w:p w:rsidR="001F1D83" w:rsidRPr="001F1D83" w:rsidRDefault="001F1D83" w:rsidP="001F1D83">
      <w:pPr>
        <w:spacing w:line="240" w:lineRule="auto"/>
        <w:jc w:val="both"/>
        <w:rPr>
          <w:rFonts w:ascii="Times New Roman" w:hAnsi="Times New Roman" w:cs="Times New Roman"/>
          <w:b/>
          <w:sz w:val="24"/>
          <w:szCs w:val="24"/>
        </w:rPr>
      </w:pPr>
      <w:r w:rsidRPr="001F1D83">
        <w:rPr>
          <w:rFonts w:ascii="Times New Roman" w:hAnsi="Times New Roman" w:cs="Times New Roman"/>
          <w:b/>
          <w:sz w:val="24"/>
          <w:szCs w:val="24"/>
        </w:rPr>
        <w:t>CONCLUSION</w:t>
      </w:r>
    </w:p>
    <w:p w:rsidR="001F1D83" w:rsidRPr="001F1D83" w:rsidRDefault="001F1D83" w:rsidP="001F1D83">
      <w:pPr>
        <w:pStyle w:val="ListParagraph"/>
        <w:spacing w:line="240" w:lineRule="auto"/>
        <w:ind w:left="0" w:firstLine="720"/>
        <w:jc w:val="both"/>
        <w:rPr>
          <w:rFonts w:ascii="Times New Roman" w:hAnsi="Times New Roman" w:cs="Times New Roman"/>
          <w:color w:val="000000"/>
          <w:sz w:val="24"/>
          <w:szCs w:val="24"/>
        </w:rPr>
      </w:pPr>
      <w:r w:rsidRPr="001F1D83">
        <w:rPr>
          <w:rFonts w:ascii="Times New Roman" w:hAnsi="Times New Roman" w:cs="Times New Roman"/>
          <w:sz w:val="24"/>
          <w:szCs w:val="24"/>
        </w:rPr>
        <w:t xml:space="preserve">Financing to Deposit Ratio has no effect on the Non Performing Financing (NPF) of KC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Makassar; the amount of financing to Deposit Ratio obtained will easily be Non Performing Financing (NPF) which is overcome by the benefits of KC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Makassar. Financing to Asset Ratio (FAR) does not affect the Non Performing Financing (NPF) of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Makassar, because the size of the financing to Asset Ratio obtained will determine the benefits of BRI </w:t>
      </w:r>
      <w:proofErr w:type="spellStart"/>
      <w:r w:rsidRPr="001F1D83">
        <w:rPr>
          <w:rFonts w:ascii="Times New Roman" w:hAnsi="Times New Roman" w:cs="Times New Roman"/>
          <w:sz w:val="24"/>
          <w:szCs w:val="24"/>
        </w:rPr>
        <w:t>Syariah</w:t>
      </w:r>
      <w:proofErr w:type="spellEnd"/>
      <w:r w:rsidRPr="001F1D83">
        <w:rPr>
          <w:rFonts w:ascii="Times New Roman" w:hAnsi="Times New Roman" w:cs="Times New Roman"/>
          <w:sz w:val="24"/>
          <w:szCs w:val="24"/>
        </w:rPr>
        <w:t xml:space="preserve"> Makassar KC Makassar and illustrate how the bank's ability to meet financing demand with assets that are owned.</w:t>
      </w:r>
    </w:p>
    <w:p w:rsidR="001F1D83" w:rsidRPr="001F1D83" w:rsidRDefault="001F1D83" w:rsidP="001F1D83">
      <w:pPr>
        <w:pStyle w:val="ListParagraph"/>
        <w:spacing w:line="240" w:lineRule="auto"/>
        <w:ind w:left="0"/>
        <w:rPr>
          <w:rFonts w:ascii="Times New Roman" w:hAnsi="Times New Roman" w:cs="Times New Roman"/>
          <w:b/>
          <w:sz w:val="24"/>
          <w:szCs w:val="24"/>
        </w:rPr>
      </w:pPr>
    </w:p>
    <w:p w:rsidR="001F1D83" w:rsidRPr="001F1D83" w:rsidRDefault="001F1D83" w:rsidP="001F1D83">
      <w:pPr>
        <w:pStyle w:val="ListParagraph"/>
        <w:spacing w:line="240" w:lineRule="auto"/>
        <w:ind w:left="0"/>
        <w:rPr>
          <w:rFonts w:ascii="Times New Roman" w:hAnsi="Times New Roman" w:cs="Times New Roman"/>
          <w:b/>
          <w:sz w:val="24"/>
          <w:szCs w:val="24"/>
        </w:rPr>
      </w:pPr>
    </w:p>
    <w:p w:rsidR="001F1D83" w:rsidRPr="001F1D83" w:rsidRDefault="001F1D83" w:rsidP="001F1D83">
      <w:pPr>
        <w:pStyle w:val="ListParagraph"/>
        <w:spacing w:line="240" w:lineRule="auto"/>
        <w:ind w:left="0"/>
        <w:rPr>
          <w:rFonts w:ascii="Times New Roman" w:hAnsi="Times New Roman" w:cs="Times New Roman"/>
          <w:sz w:val="24"/>
          <w:szCs w:val="24"/>
        </w:rPr>
      </w:pPr>
      <w:r w:rsidRPr="001F1D83">
        <w:rPr>
          <w:rFonts w:ascii="Times New Roman" w:hAnsi="Times New Roman" w:cs="Times New Roman"/>
          <w:b/>
          <w:sz w:val="24"/>
          <w:szCs w:val="24"/>
        </w:rPr>
        <w:t>Thanks to:</w:t>
      </w:r>
    </w:p>
    <w:p w:rsidR="001F1D83" w:rsidRPr="001F1D83" w:rsidRDefault="001F1D83" w:rsidP="001F1D83">
      <w:pPr>
        <w:tabs>
          <w:tab w:val="left" w:pos="284"/>
        </w:tabs>
        <w:spacing w:line="240" w:lineRule="auto"/>
        <w:jc w:val="both"/>
        <w:rPr>
          <w:rFonts w:ascii="Times New Roman" w:hAnsi="Times New Roman" w:cs="Times New Roman"/>
          <w:sz w:val="24"/>
          <w:szCs w:val="24"/>
        </w:rPr>
      </w:pPr>
      <w:proofErr w:type="gramStart"/>
      <w:r w:rsidRPr="001F1D83">
        <w:rPr>
          <w:rFonts w:ascii="Times New Roman" w:hAnsi="Times New Roman" w:cs="Times New Roman"/>
          <w:sz w:val="24"/>
          <w:szCs w:val="24"/>
        </w:rPr>
        <w:t>Thank you to all those who have helped directly or indirectly so that this research can be completed.</w:t>
      </w:r>
      <w:proofErr w:type="gramEnd"/>
    </w:p>
    <w:p w:rsidR="001F1D83" w:rsidRPr="001F1D83" w:rsidRDefault="001F1D83" w:rsidP="001F1D83">
      <w:pPr>
        <w:spacing w:line="240" w:lineRule="auto"/>
        <w:ind w:left="1134" w:hanging="1134"/>
        <w:jc w:val="both"/>
        <w:rPr>
          <w:rFonts w:ascii="Times New Roman" w:hAnsi="Times New Roman" w:cs="Times New Roman"/>
          <w:b/>
          <w:iCs/>
          <w:color w:val="000000"/>
          <w:sz w:val="24"/>
          <w:szCs w:val="24"/>
        </w:rPr>
      </w:pPr>
      <w:r w:rsidRPr="001F1D83">
        <w:rPr>
          <w:rFonts w:ascii="Times New Roman" w:hAnsi="Times New Roman" w:cs="Times New Roman"/>
          <w:b/>
          <w:iCs/>
          <w:color w:val="000000"/>
          <w:sz w:val="24"/>
          <w:szCs w:val="24"/>
        </w:rPr>
        <w:t>BIBLIOGRAPHY</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Diyanti</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Anin</w:t>
      </w:r>
      <w:proofErr w:type="spellEnd"/>
      <w:r w:rsidRPr="001F1D83">
        <w:rPr>
          <w:rFonts w:ascii="Times New Roman" w:hAnsi="Times New Roman" w:cs="Times New Roman"/>
          <w:sz w:val="24"/>
          <w:szCs w:val="24"/>
        </w:rPr>
        <w:t xml:space="preserve">. 2012. Analysis of the Influence of Internal and External Factors on the Occurrence of Non-Performing Loans (Case Study in Commercial </w:t>
      </w:r>
      <w:proofErr w:type="spellStart"/>
      <w:r w:rsidRPr="001F1D83">
        <w:rPr>
          <w:rFonts w:ascii="Times New Roman" w:hAnsi="Times New Roman" w:cs="Times New Roman"/>
          <w:sz w:val="24"/>
          <w:szCs w:val="24"/>
        </w:rPr>
        <w:t>Commercial</w:t>
      </w:r>
      <w:proofErr w:type="spellEnd"/>
      <w:r w:rsidRPr="001F1D83">
        <w:rPr>
          <w:rFonts w:ascii="Times New Roman" w:hAnsi="Times New Roman" w:cs="Times New Roman"/>
          <w:sz w:val="24"/>
          <w:szCs w:val="24"/>
        </w:rPr>
        <w:t xml:space="preserve"> Banks Providing Home Ownership Loans for the 2008-2011 Period). </w:t>
      </w:r>
      <w:proofErr w:type="spellStart"/>
      <w:proofErr w:type="gramStart"/>
      <w:r w:rsidRPr="001F1D83">
        <w:rPr>
          <w:rFonts w:ascii="Times New Roman" w:hAnsi="Times New Roman" w:cs="Times New Roman"/>
          <w:sz w:val="24"/>
          <w:szCs w:val="24"/>
        </w:rPr>
        <w:t>Diponegoro</w:t>
      </w:r>
      <w:proofErr w:type="spellEnd"/>
      <w:r w:rsidRPr="001F1D83">
        <w:rPr>
          <w:rFonts w:ascii="Times New Roman" w:hAnsi="Times New Roman" w:cs="Times New Roman"/>
          <w:sz w:val="24"/>
          <w:szCs w:val="24"/>
        </w:rPr>
        <w:t xml:space="preserve"> Journal of Management Vol.1 Number 2 of 2012 p.290-299.</w:t>
      </w:r>
      <w:proofErr w:type="gramEnd"/>
      <w:r w:rsidRPr="001F1D83">
        <w:rPr>
          <w:rFonts w:ascii="Times New Roman" w:hAnsi="Times New Roman" w:cs="Times New Roman"/>
          <w:sz w:val="24"/>
          <w:szCs w:val="24"/>
        </w:rPr>
        <w:t xml:space="preserve"> </w:t>
      </w:r>
      <w:proofErr w:type="spellStart"/>
      <w:proofErr w:type="gramStart"/>
      <w:r w:rsidRPr="001F1D83">
        <w:rPr>
          <w:rFonts w:ascii="Times New Roman" w:hAnsi="Times New Roman" w:cs="Times New Roman"/>
          <w:sz w:val="24"/>
          <w:szCs w:val="24"/>
        </w:rPr>
        <w:t>Diponegoro</w:t>
      </w:r>
      <w:proofErr w:type="spellEnd"/>
      <w:r w:rsidRPr="001F1D83">
        <w:rPr>
          <w:rFonts w:ascii="Times New Roman" w:hAnsi="Times New Roman" w:cs="Times New Roman"/>
          <w:sz w:val="24"/>
          <w:szCs w:val="24"/>
        </w:rPr>
        <w:t xml:space="preserve"> University, Semarang.vol 1 no.2.</w:t>
      </w:r>
      <w:proofErr w:type="gramEnd"/>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proofErr w:type="gramStart"/>
      <w:r w:rsidRPr="001F1D83">
        <w:rPr>
          <w:rFonts w:ascii="Times New Roman" w:hAnsi="Times New Roman" w:cs="Times New Roman"/>
          <w:sz w:val="24"/>
          <w:szCs w:val="24"/>
        </w:rPr>
        <w:lastRenderedPageBreak/>
        <w:t>Darma</w:t>
      </w:r>
      <w:proofErr w:type="spellEnd"/>
      <w:r w:rsidRPr="001F1D83">
        <w:rPr>
          <w:rFonts w:ascii="Times New Roman" w:hAnsi="Times New Roman" w:cs="Times New Roman"/>
          <w:sz w:val="24"/>
          <w:szCs w:val="24"/>
        </w:rPr>
        <w:t>, E S and Rita.</w:t>
      </w:r>
      <w:proofErr w:type="gramEnd"/>
      <w:r w:rsidRPr="001F1D83">
        <w:rPr>
          <w:rFonts w:ascii="Times New Roman" w:hAnsi="Times New Roman" w:cs="Times New Roman"/>
          <w:sz w:val="24"/>
          <w:szCs w:val="24"/>
        </w:rPr>
        <w:t xml:space="preserve"> 2011. Factors affecting the level of Islamic bank fund scrolling, Journal of Accounting and Investment: </w:t>
      </w:r>
      <w:proofErr w:type="spellStart"/>
      <w:r w:rsidRPr="001F1D83">
        <w:rPr>
          <w:rFonts w:ascii="Times New Roman" w:hAnsi="Times New Roman" w:cs="Times New Roman"/>
          <w:sz w:val="24"/>
          <w:szCs w:val="24"/>
        </w:rPr>
        <w:t>Muhammadiyah</w:t>
      </w:r>
      <w:proofErr w:type="spellEnd"/>
      <w:r w:rsidRPr="001F1D83">
        <w:rPr>
          <w:rFonts w:ascii="Times New Roman" w:hAnsi="Times New Roman" w:cs="Times New Roman"/>
          <w:sz w:val="24"/>
          <w:szCs w:val="24"/>
        </w:rPr>
        <w:t xml:space="preserve"> University Yogyakarta.</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Febriyanti</w:t>
      </w:r>
      <w:proofErr w:type="spellEnd"/>
      <w:r w:rsidRPr="001F1D83">
        <w:rPr>
          <w:rFonts w:ascii="Times New Roman" w:hAnsi="Times New Roman" w:cs="Times New Roman"/>
          <w:sz w:val="24"/>
          <w:szCs w:val="24"/>
        </w:rPr>
        <w:t xml:space="preserve">, Silvia </w:t>
      </w:r>
      <w:proofErr w:type="spellStart"/>
      <w:r w:rsidRPr="001F1D83">
        <w:rPr>
          <w:rFonts w:ascii="Times New Roman" w:hAnsi="Times New Roman" w:cs="Times New Roman"/>
          <w:sz w:val="24"/>
          <w:szCs w:val="24"/>
        </w:rPr>
        <w:t>Eka</w:t>
      </w:r>
      <w:proofErr w:type="spellEnd"/>
      <w:r w:rsidRPr="001F1D83">
        <w:rPr>
          <w:rFonts w:ascii="Times New Roman" w:hAnsi="Times New Roman" w:cs="Times New Roman"/>
          <w:sz w:val="24"/>
          <w:szCs w:val="24"/>
        </w:rPr>
        <w:t xml:space="preserve">. 2015. Analysis of the influence of </w:t>
      </w:r>
      <w:proofErr w:type="spellStart"/>
      <w:r w:rsidRPr="001F1D83">
        <w:rPr>
          <w:rFonts w:ascii="Times New Roman" w:hAnsi="Times New Roman" w:cs="Times New Roman"/>
          <w:sz w:val="24"/>
          <w:szCs w:val="24"/>
        </w:rPr>
        <w:t>gdp</w:t>
      </w:r>
      <w:proofErr w:type="spellEnd"/>
      <w:r w:rsidRPr="001F1D83">
        <w:rPr>
          <w:rFonts w:ascii="Times New Roman" w:hAnsi="Times New Roman" w:cs="Times New Roman"/>
          <w:sz w:val="24"/>
          <w:szCs w:val="24"/>
        </w:rPr>
        <w:t xml:space="preserve"> growth, inflation, bi rate and exchange rates on non-performing loans in conventional banks and Islamic banks. </w:t>
      </w:r>
      <w:proofErr w:type="spellStart"/>
      <w:proofErr w:type="gramStart"/>
      <w:r w:rsidRPr="001F1D83">
        <w:rPr>
          <w:rFonts w:ascii="Times New Roman" w:hAnsi="Times New Roman" w:cs="Times New Roman"/>
          <w:sz w:val="24"/>
          <w:szCs w:val="24"/>
        </w:rPr>
        <w:t>journal.ub.ac.id.vol</w:t>
      </w:r>
      <w:proofErr w:type="spellEnd"/>
      <w:r w:rsidRPr="001F1D83">
        <w:rPr>
          <w:rFonts w:ascii="Times New Roman" w:hAnsi="Times New Roman" w:cs="Times New Roman"/>
          <w:sz w:val="24"/>
          <w:szCs w:val="24"/>
        </w:rPr>
        <w:t xml:space="preserve"> 3 no.1.</w:t>
      </w:r>
      <w:proofErr w:type="gramEnd"/>
    </w:p>
    <w:p w:rsidR="001F1D83" w:rsidRPr="001F1D83" w:rsidRDefault="001F1D83" w:rsidP="001F1D83">
      <w:pPr>
        <w:spacing w:line="240" w:lineRule="auto"/>
        <w:ind w:left="720" w:hanging="630"/>
        <w:jc w:val="both"/>
        <w:rPr>
          <w:rFonts w:ascii="Times New Roman" w:hAnsi="Times New Roman" w:cs="Times New Roman"/>
          <w:sz w:val="24"/>
          <w:szCs w:val="24"/>
        </w:rPr>
      </w:pPr>
      <w:proofErr w:type="gramStart"/>
      <w:r w:rsidRPr="001F1D83">
        <w:rPr>
          <w:rFonts w:ascii="Times New Roman" w:hAnsi="Times New Roman" w:cs="Times New Roman"/>
          <w:sz w:val="24"/>
          <w:szCs w:val="24"/>
        </w:rPr>
        <w:t>Indonesian Bankers Association.</w:t>
      </w:r>
      <w:proofErr w:type="gramEnd"/>
      <w:r w:rsidRPr="001F1D83">
        <w:rPr>
          <w:rFonts w:ascii="Times New Roman" w:hAnsi="Times New Roman" w:cs="Times New Roman"/>
          <w:sz w:val="24"/>
          <w:szCs w:val="24"/>
        </w:rPr>
        <w:t xml:space="preserve"> 2014. Managing </w:t>
      </w:r>
      <w:proofErr w:type="spellStart"/>
      <w:r w:rsidRPr="001F1D83">
        <w:rPr>
          <w:rFonts w:ascii="Times New Roman" w:hAnsi="Times New Roman" w:cs="Times New Roman"/>
          <w:sz w:val="24"/>
          <w:szCs w:val="24"/>
        </w:rPr>
        <w:t>Sharia</w:t>
      </w:r>
      <w:proofErr w:type="spellEnd"/>
      <w:r w:rsidRPr="001F1D83">
        <w:rPr>
          <w:rFonts w:ascii="Times New Roman" w:hAnsi="Times New Roman" w:cs="Times New Roman"/>
          <w:sz w:val="24"/>
          <w:szCs w:val="24"/>
        </w:rPr>
        <w:t xml:space="preserve"> Banks, Jakarta: PT </w:t>
      </w:r>
      <w:proofErr w:type="spellStart"/>
      <w:r w:rsidRPr="001F1D83">
        <w:rPr>
          <w:rFonts w:ascii="Times New Roman" w:hAnsi="Times New Roman" w:cs="Times New Roman"/>
          <w:sz w:val="24"/>
          <w:szCs w:val="24"/>
        </w:rPr>
        <w:t>Gramedia</w:t>
      </w:r>
      <w:proofErr w:type="spellEnd"/>
      <w:r w:rsidRPr="001F1D83">
        <w:rPr>
          <w:rFonts w:ascii="Times New Roman" w:hAnsi="Times New Roman" w:cs="Times New Roman"/>
          <w:sz w:val="24"/>
          <w:szCs w:val="24"/>
        </w:rPr>
        <w:t>.</w:t>
      </w:r>
    </w:p>
    <w:p w:rsidR="001F1D83" w:rsidRPr="001F1D83" w:rsidRDefault="001F1D83" w:rsidP="001F1D83">
      <w:pPr>
        <w:spacing w:line="240" w:lineRule="auto"/>
        <w:ind w:left="720" w:hanging="630"/>
        <w:jc w:val="both"/>
        <w:rPr>
          <w:rFonts w:ascii="Times New Roman" w:hAnsi="Times New Roman" w:cs="Times New Roman"/>
          <w:sz w:val="24"/>
          <w:szCs w:val="24"/>
        </w:rPr>
      </w:pPr>
      <w:r w:rsidRPr="001F1D83">
        <w:rPr>
          <w:rFonts w:ascii="Times New Roman" w:hAnsi="Times New Roman" w:cs="Times New Roman"/>
          <w:sz w:val="24"/>
          <w:szCs w:val="24"/>
        </w:rPr>
        <w:t xml:space="preserve">Ismail </w:t>
      </w:r>
      <w:proofErr w:type="spellStart"/>
      <w:r w:rsidRPr="001F1D83">
        <w:rPr>
          <w:rFonts w:ascii="Times New Roman" w:hAnsi="Times New Roman" w:cs="Times New Roman"/>
          <w:sz w:val="24"/>
          <w:szCs w:val="24"/>
        </w:rPr>
        <w:t>Nawawi</w:t>
      </w:r>
      <w:proofErr w:type="spellEnd"/>
      <w:r w:rsidRPr="001F1D83">
        <w:rPr>
          <w:rFonts w:ascii="Times New Roman" w:hAnsi="Times New Roman" w:cs="Times New Roman"/>
          <w:sz w:val="24"/>
          <w:szCs w:val="24"/>
        </w:rPr>
        <w:t xml:space="preserve">, 2010 Banking Management </w:t>
      </w:r>
      <w:proofErr w:type="gramStart"/>
      <w:r w:rsidRPr="001F1D83">
        <w:rPr>
          <w:rFonts w:ascii="Times New Roman" w:hAnsi="Times New Roman" w:cs="Times New Roman"/>
          <w:sz w:val="24"/>
          <w:szCs w:val="24"/>
        </w:rPr>
        <w:t>From</w:t>
      </w:r>
      <w:proofErr w:type="gramEnd"/>
      <w:r w:rsidRPr="001F1D83">
        <w:rPr>
          <w:rFonts w:ascii="Times New Roman" w:hAnsi="Times New Roman" w:cs="Times New Roman"/>
          <w:sz w:val="24"/>
          <w:szCs w:val="24"/>
        </w:rPr>
        <w:t xml:space="preserve"> Theory to Application, Jakarta: </w:t>
      </w:r>
      <w:proofErr w:type="spellStart"/>
      <w:r w:rsidRPr="001F1D83">
        <w:rPr>
          <w:rFonts w:ascii="Times New Roman" w:hAnsi="Times New Roman" w:cs="Times New Roman"/>
          <w:sz w:val="24"/>
          <w:szCs w:val="24"/>
        </w:rPr>
        <w:t>Kencana</w:t>
      </w:r>
      <w:proofErr w:type="spellEnd"/>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Khotibul</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Uma</w:t>
      </w:r>
      <w:proofErr w:type="spellEnd"/>
      <w:r w:rsidRPr="001F1D83">
        <w:rPr>
          <w:rFonts w:ascii="Times New Roman" w:hAnsi="Times New Roman" w:cs="Times New Roman"/>
          <w:sz w:val="24"/>
          <w:szCs w:val="24"/>
        </w:rPr>
        <w:t xml:space="preserve">, 2016. </w:t>
      </w:r>
      <w:proofErr w:type="gramStart"/>
      <w:r w:rsidRPr="001F1D83">
        <w:rPr>
          <w:rFonts w:ascii="Times New Roman" w:hAnsi="Times New Roman" w:cs="Times New Roman"/>
          <w:sz w:val="24"/>
          <w:szCs w:val="24"/>
        </w:rPr>
        <w:t>Islamic Banking (the basics and dynamics of its development in Indonesia).</w:t>
      </w:r>
      <w:proofErr w:type="gramEnd"/>
      <w:r w:rsidRPr="001F1D83">
        <w:rPr>
          <w:rFonts w:ascii="Times New Roman" w:hAnsi="Times New Roman" w:cs="Times New Roman"/>
          <w:sz w:val="24"/>
          <w:szCs w:val="24"/>
        </w:rPr>
        <w:t xml:space="preserve"> Yogyakarta</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Mangasa</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Augustinus</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Sipahutar</w:t>
      </w:r>
      <w:proofErr w:type="spellEnd"/>
      <w:r w:rsidRPr="001F1D83">
        <w:rPr>
          <w:rFonts w:ascii="Times New Roman" w:hAnsi="Times New Roman" w:cs="Times New Roman"/>
          <w:sz w:val="24"/>
          <w:szCs w:val="24"/>
        </w:rPr>
        <w:t xml:space="preserve">, 2007 Indonesian Banking, Jakarta: </w:t>
      </w:r>
      <w:proofErr w:type="spellStart"/>
      <w:r w:rsidRPr="001F1D83">
        <w:rPr>
          <w:rFonts w:ascii="Times New Roman" w:hAnsi="Times New Roman" w:cs="Times New Roman"/>
          <w:sz w:val="24"/>
          <w:szCs w:val="24"/>
        </w:rPr>
        <w:t>Gorga</w:t>
      </w:r>
      <w:proofErr w:type="spellEnd"/>
      <w:r w:rsidRPr="001F1D83">
        <w:rPr>
          <w:rFonts w:ascii="Times New Roman" w:hAnsi="Times New Roman" w:cs="Times New Roman"/>
          <w:sz w:val="24"/>
          <w:szCs w:val="24"/>
        </w:rPr>
        <w:t xml:space="preserve"> Media.</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gramStart"/>
      <w:r w:rsidRPr="001F1D83">
        <w:rPr>
          <w:rFonts w:ascii="Times New Roman" w:hAnsi="Times New Roman" w:cs="Times New Roman"/>
          <w:sz w:val="24"/>
          <w:szCs w:val="24"/>
        </w:rPr>
        <w:t>Poetry, Z D, et al. 2013.</w:t>
      </w:r>
      <w:proofErr w:type="gramEnd"/>
      <w:r w:rsidRPr="001F1D83">
        <w:rPr>
          <w:rFonts w:ascii="Times New Roman" w:hAnsi="Times New Roman" w:cs="Times New Roman"/>
          <w:sz w:val="24"/>
          <w:szCs w:val="24"/>
        </w:rPr>
        <w:t xml:space="preserve"> </w:t>
      </w:r>
      <w:proofErr w:type="gramStart"/>
      <w:r w:rsidRPr="001F1D83">
        <w:rPr>
          <w:rFonts w:ascii="Times New Roman" w:hAnsi="Times New Roman" w:cs="Times New Roman"/>
          <w:sz w:val="24"/>
          <w:szCs w:val="24"/>
        </w:rPr>
        <w:t xml:space="preserve">The Effect of Macro and Micro Variables on Conventional Banking NPL and </w:t>
      </w:r>
      <w:proofErr w:type="spellStart"/>
      <w:r w:rsidRPr="001F1D83">
        <w:rPr>
          <w:rFonts w:ascii="Times New Roman" w:hAnsi="Times New Roman" w:cs="Times New Roman"/>
          <w:sz w:val="24"/>
          <w:szCs w:val="24"/>
        </w:rPr>
        <w:t>Sharia</w:t>
      </w:r>
      <w:proofErr w:type="spellEnd"/>
      <w:r w:rsidRPr="001F1D83">
        <w:rPr>
          <w:rFonts w:ascii="Times New Roman" w:hAnsi="Times New Roman" w:cs="Times New Roman"/>
          <w:sz w:val="24"/>
          <w:szCs w:val="24"/>
        </w:rPr>
        <w:t xml:space="preserve"> Banking NPF.</w:t>
      </w:r>
      <w:proofErr w:type="gramEnd"/>
      <w:r w:rsidRPr="001F1D83">
        <w:rPr>
          <w:rFonts w:ascii="Times New Roman" w:hAnsi="Times New Roman" w:cs="Times New Roman"/>
          <w:sz w:val="24"/>
          <w:szCs w:val="24"/>
        </w:rPr>
        <w:t xml:space="preserve"> Islamic Finance &amp; Business Review, </w:t>
      </w:r>
      <w:proofErr w:type="spellStart"/>
      <w:r w:rsidRPr="001F1D83">
        <w:rPr>
          <w:rFonts w:ascii="Times New Roman" w:hAnsi="Times New Roman" w:cs="Times New Roman"/>
          <w:sz w:val="24"/>
          <w:szCs w:val="24"/>
        </w:rPr>
        <w:t>vol</w:t>
      </w:r>
      <w:proofErr w:type="spellEnd"/>
      <w:r w:rsidRPr="001F1D83">
        <w:rPr>
          <w:rFonts w:ascii="Times New Roman" w:hAnsi="Times New Roman" w:cs="Times New Roman"/>
          <w:sz w:val="24"/>
          <w:szCs w:val="24"/>
        </w:rPr>
        <w:t xml:space="preserve"> 6 no.1 </w:t>
      </w:r>
    </w:p>
    <w:p w:rsidR="001F1D83" w:rsidRPr="001F1D83" w:rsidRDefault="001F1D83" w:rsidP="001F1D83">
      <w:pPr>
        <w:spacing w:line="240" w:lineRule="auto"/>
        <w:ind w:left="720" w:hanging="630"/>
        <w:jc w:val="both"/>
        <w:rPr>
          <w:rFonts w:ascii="Times New Roman" w:hAnsi="Times New Roman" w:cs="Times New Roman"/>
          <w:sz w:val="24"/>
          <w:szCs w:val="24"/>
        </w:rPr>
      </w:pPr>
      <w:r w:rsidRPr="001F1D83">
        <w:rPr>
          <w:rFonts w:ascii="Times New Roman" w:hAnsi="Times New Roman" w:cs="Times New Roman"/>
          <w:sz w:val="24"/>
          <w:szCs w:val="24"/>
        </w:rPr>
        <w:t>Pratiwi.2012. Analysis of credit policy on Non-Performing Loans (study at Bank Tabungan Negara (</w:t>
      </w:r>
      <w:proofErr w:type="spellStart"/>
      <w:r w:rsidRPr="001F1D83">
        <w:rPr>
          <w:rFonts w:ascii="Times New Roman" w:hAnsi="Times New Roman" w:cs="Times New Roman"/>
          <w:sz w:val="24"/>
          <w:szCs w:val="24"/>
        </w:rPr>
        <w:t>Persero</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Tbk</w:t>
      </w:r>
      <w:proofErr w:type="spellEnd"/>
      <w:r w:rsidRPr="001F1D83">
        <w:rPr>
          <w:rFonts w:ascii="Times New Roman" w:hAnsi="Times New Roman" w:cs="Times New Roman"/>
          <w:sz w:val="24"/>
          <w:szCs w:val="24"/>
        </w:rPr>
        <w:t xml:space="preserve"> Makassar Branch 2007-2011 period). </w:t>
      </w:r>
      <w:proofErr w:type="gramStart"/>
      <w:r w:rsidRPr="001F1D83">
        <w:rPr>
          <w:rFonts w:ascii="Times New Roman" w:hAnsi="Times New Roman" w:cs="Times New Roman"/>
          <w:sz w:val="24"/>
          <w:szCs w:val="24"/>
        </w:rPr>
        <w:t>Department of Management, Faculty of Economics and Business.</w:t>
      </w:r>
      <w:proofErr w:type="gramEnd"/>
      <w:r w:rsidRPr="001F1D83">
        <w:rPr>
          <w:rFonts w:ascii="Times New Roman" w:hAnsi="Times New Roman" w:cs="Times New Roman"/>
          <w:sz w:val="24"/>
          <w:szCs w:val="24"/>
        </w:rPr>
        <w:t xml:space="preserve"> </w:t>
      </w:r>
      <w:proofErr w:type="spellStart"/>
      <w:proofErr w:type="gramStart"/>
      <w:r w:rsidRPr="001F1D83">
        <w:rPr>
          <w:rFonts w:ascii="Times New Roman" w:hAnsi="Times New Roman" w:cs="Times New Roman"/>
          <w:sz w:val="24"/>
          <w:szCs w:val="24"/>
        </w:rPr>
        <w:t>Hasanuddin</w:t>
      </w:r>
      <w:proofErr w:type="spellEnd"/>
      <w:r w:rsidRPr="001F1D83">
        <w:rPr>
          <w:rFonts w:ascii="Times New Roman" w:hAnsi="Times New Roman" w:cs="Times New Roman"/>
          <w:sz w:val="24"/>
          <w:szCs w:val="24"/>
        </w:rPr>
        <w:t xml:space="preserve"> University.</w:t>
      </w:r>
      <w:proofErr w:type="gramEnd"/>
      <w:r w:rsidRPr="001F1D83">
        <w:rPr>
          <w:rFonts w:ascii="Times New Roman" w:hAnsi="Times New Roman" w:cs="Times New Roman"/>
          <w:sz w:val="24"/>
          <w:szCs w:val="24"/>
        </w:rPr>
        <w:t xml:space="preserve"> </w:t>
      </w:r>
      <w:proofErr w:type="gramStart"/>
      <w:r w:rsidRPr="001F1D83">
        <w:rPr>
          <w:rFonts w:ascii="Times New Roman" w:hAnsi="Times New Roman" w:cs="Times New Roman"/>
          <w:sz w:val="24"/>
          <w:szCs w:val="24"/>
        </w:rPr>
        <w:t>Makassar.</w:t>
      </w:r>
      <w:proofErr w:type="gramEnd"/>
      <w:r w:rsidRPr="001F1D83">
        <w:rPr>
          <w:rFonts w:ascii="Times New Roman" w:hAnsi="Times New Roman" w:cs="Times New Roman"/>
          <w:sz w:val="24"/>
          <w:szCs w:val="24"/>
        </w:rPr>
        <w:t xml:space="preserve"> </w:t>
      </w:r>
      <w:proofErr w:type="spellStart"/>
      <w:proofErr w:type="gramStart"/>
      <w:r w:rsidRPr="001F1D83">
        <w:rPr>
          <w:rFonts w:ascii="Times New Roman" w:hAnsi="Times New Roman" w:cs="Times New Roman"/>
          <w:sz w:val="24"/>
          <w:szCs w:val="24"/>
        </w:rPr>
        <w:t>vol</w:t>
      </w:r>
      <w:proofErr w:type="spellEnd"/>
      <w:proofErr w:type="gramEnd"/>
      <w:r w:rsidRPr="001F1D83">
        <w:rPr>
          <w:rFonts w:ascii="Times New Roman" w:hAnsi="Times New Roman" w:cs="Times New Roman"/>
          <w:sz w:val="24"/>
          <w:szCs w:val="24"/>
        </w:rPr>
        <w:t xml:space="preserve"> 2. no.1</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Rivai</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Vaithzal</w:t>
      </w:r>
      <w:proofErr w:type="spellEnd"/>
      <w:r w:rsidRPr="001F1D83">
        <w:rPr>
          <w:rFonts w:ascii="Times New Roman" w:hAnsi="Times New Roman" w:cs="Times New Roman"/>
          <w:sz w:val="24"/>
          <w:szCs w:val="24"/>
        </w:rPr>
        <w:t xml:space="preserve">, Arvin </w:t>
      </w:r>
      <w:proofErr w:type="spellStart"/>
      <w:r w:rsidRPr="001F1D83">
        <w:rPr>
          <w:rFonts w:ascii="Times New Roman" w:hAnsi="Times New Roman" w:cs="Times New Roman"/>
          <w:sz w:val="24"/>
          <w:szCs w:val="24"/>
        </w:rPr>
        <w:t>arifin</w:t>
      </w:r>
      <w:proofErr w:type="spellEnd"/>
      <w:r w:rsidRPr="001F1D83">
        <w:rPr>
          <w:rFonts w:ascii="Times New Roman" w:hAnsi="Times New Roman" w:cs="Times New Roman"/>
          <w:sz w:val="24"/>
          <w:szCs w:val="24"/>
        </w:rPr>
        <w:t>. 2010, Islamic banking, Jakarta: PT. Earth Literacy.</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Soebagio</w:t>
      </w:r>
      <w:proofErr w:type="spellEnd"/>
      <w:r w:rsidRPr="001F1D83">
        <w:rPr>
          <w:rFonts w:ascii="Times New Roman" w:hAnsi="Times New Roman" w:cs="Times New Roman"/>
          <w:sz w:val="24"/>
          <w:szCs w:val="24"/>
        </w:rPr>
        <w:t xml:space="preserve">, H. 2011. Analysis of the factors that influence the occurrence of non-performing loans (NPLs) in Commercial </w:t>
      </w:r>
      <w:proofErr w:type="spellStart"/>
      <w:r w:rsidRPr="001F1D83">
        <w:rPr>
          <w:rFonts w:ascii="Times New Roman" w:hAnsi="Times New Roman" w:cs="Times New Roman"/>
          <w:sz w:val="24"/>
          <w:szCs w:val="24"/>
        </w:rPr>
        <w:t>Commercial</w:t>
      </w:r>
      <w:proofErr w:type="spellEnd"/>
      <w:r w:rsidRPr="001F1D83">
        <w:rPr>
          <w:rFonts w:ascii="Times New Roman" w:hAnsi="Times New Roman" w:cs="Times New Roman"/>
          <w:sz w:val="24"/>
          <w:szCs w:val="24"/>
        </w:rPr>
        <w:t xml:space="preserve"> Banks, Thesis, Diponegoro.vol University no.1</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Sugiyano</w:t>
      </w:r>
      <w:proofErr w:type="spellEnd"/>
      <w:r w:rsidRPr="001F1D83">
        <w:rPr>
          <w:rFonts w:ascii="Times New Roman" w:hAnsi="Times New Roman" w:cs="Times New Roman"/>
          <w:sz w:val="24"/>
          <w:szCs w:val="24"/>
        </w:rPr>
        <w:t xml:space="preserve">, 2016, Educational research methods (quantitative, qualitative and R and D approaches). </w:t>
      </w:r>
      <w:proofErr w:type="spellStart"/>
      <w:proofErr w:type="gramStart"/>
      <w:r w:rsidRPr="001F1D83">
        <w:rPr>
          <w:rFonts w:ascii="Times New Roman" w:hAnsi="Times New Roman" w:cs="Times New Roman"/>
          <w:sz w:val="24"/>
          <w:szCs w:val="24"/>
        </w:rPr>
        <w:t>Alfabeta</w:t>
      </w:r>
      <w:proofErr w:type="spellEnd"/>
      <w:r w:rsidRPr="001F1D83">
        <w:rPr>
          <w:rFonts w:ascii="Times New Roman" w:hAnsi="Times New Roman" w:cs="Times New Roman"/>
          <w:sz w:val="24"/>
          <w:szCs w:val="24"/>
        </w:rPr>
        <w:t>.</w:t>
      </w:r>
      <w:proofErr w:type="gramEnd"/>
      <w:r w:rsidRPr="001F1D83">
        <w:rPr>
          <w:rFonts w:ascii="Times New Roman" w:hAnsi="Times New Roman" w:cs="Times New Roman"/>
          <w:sz w:val="24"/>
          <w:szCs w:val="24"/>
        </w:rPr>
        <w:t xml:space="preserve"> </w:t>
      </w:r>
      <w:proofErr w:type="gramStart"/>
      <w:r w:rsidRPr="001F1D83">
        <w:rPr>
          <w:rFonts w:ascii="Times New Roman" w:hAnsi="Times New Roman" w:cs="Times New Roman"/>
          <w:sz w:val="24"/>
          <w:szCs w:val="24"/>
        </w:rPr>
        <w:t>Bandung .</w:t>
      </w:r>
      <w:proofErr w:type="gramEnd"/>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Santosa</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Septiono</w:t>
      </w:r>
      <w:proofErr w:type="spellEnd"/>
      <w:r w:rsidRPr="001F1D83">
        <w:rPr>
          <w:rFonts w:ascii="Times New Roman" w:hAnsi="Times New Roman" w:cs="Times New Roman"/>
          <w:sz w:val="24"/>
          <w:szCs w:val="24"/>
        </w:rPr>
        <w:t xml:space="preserve"> Budi, et al. 2014 Analysis of the Effects of FDR, </w:t>
      </w:r>
      <w:proofErr w:type="spellStart"/>
      <w:r w:rsidRPr="001F1D83">
        <w:rPr>
          <w:rFonts w:ascii="Times New Roman" w:hAnsi="Times New Roman" w:cs="Times New Roman"/>
          <w:sz w:val="24"/>
          <w:szCs w:val="24"/>
        </w:rPr>
        <w:t>Bopo</w:t>
      </w:r>
      <w:proofErr w:type="spellEnd"/>
      <w:r w:rsidRPr="001F1D83">
        <w:rPr>
          <w:rFonts w:ascii="Times New Roman" w:hAnsi="Times New Roman" w:cs="Times New Roman"/>
          <w:sz w:val="24"/>
          <w:szCs w:val="24"/>
        </w:rPr>
        <w:t xml:space="preserve">, Size, FAR and </w:t>
      </w:r>
      <w:proofErr w:type="spellStart"/>
      <w:r w:rsidRPr="001F1D83">
        <w:rPr>
          <w:rFonts w:ascii="Times New Roman" w:hAnsi="Times New Roman" w:cs="Times New Roman"/>
          <w:sz w:val="24"/>
          <w:szCs w:val="24"/>
        </w:rPr>
        <w:t>Nim</w:t>
      </w:r>
      <w:proofErr w:type="spellEnd"/>
      <w:r w:rsidRPr="001F1D83">
        <w:rPr>
          <w:rFonts w:ascii="Times New Roman" w:hAnsi="Times New Roman" w:cs="Times New Roman"/>
          <w:sz w:val="24"/>
          <w:szCs w:val="24"/>
        </w:rPr>
        <w:t xml:space="preserve"> on NPLs in Conventional Rural Banks in the Central Java Region (Period 2010-2012). Journal 7 of the Faculty of Economics and Business, </w:t>
      </w:r>
      <w:proofErr w:type="spellStart"/>
      <w:r w:rsidRPr="001F1D83">
        <w:rPr>
          <w:rFonts w:ascii="Times New Roman" w:hAnsi="Times New Roman" w:cs="Times New Roman"/>
          <w:sz w:val="24"/>
          <w:szCs w:val="24"/>
        </w:rPr>
        <w:t>Jenderal</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Soedirman</w:t>
      </w:r>
      <w:proofErr w:type="spellEnd"/>
      <w:r w:rsidRPr="001F1D83">
        <w:rPr>
          <w:rFonts w:ascii="Times New Roman" w:hAnsi="Times New Roman" w:cs="Times New Roman"/>
          <w:sz w:val="24"/>
          <w:szCs w:val="24"/>
        </w:rPr>
        <w:t xml:space="preserve"> University, Vol. 3 no.5</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proofErr w:type="gramStart"/>
      <w:r w:rsidRPr="001F1D83">
        <w:rPr>
          <w:rFonts w:ascii="Times New Roman" w:hAnsi="Times New Roman" w:cs="Times New Roman"/>
          <w:sz w:val="24"/>
          <w:szCs w:val="24"/>
        </w:rPr>
        <w:t>Trisandini</w:t>
      </w:r>
      <w:proofErr w:type="spellEnd"/>
      <w:r w:rsidRPr="001F1D83">
        <w:rPr>
          <w:rFonts w:ascii="Times New Roman" w:hAnsi="Times New Roman" w:cs="Times New Roman"/>
          <w:sz w:val="24"/>
          <w:szCs w:val="24"/>
        </w:rPr>
        <w:t>.</w:t>
      </w:r>
      <w:proofErr w:type="gramEnd"/>
      <w:r w:rsidRPr="001F1D83">
        <w:rPr>
          <w:rFonts w:ascii="Times New Roman" w:hAnsi="Times New Roman" w:cs="Times New Roman"/>
          <w:sz w:val="24"/>
          <w:szCs w:val="24"/>
        </w:rPr>
        <w:t xml:space="preserve"> </w:t>
      </w:r>
      <w:proofErr w:type="gramStart"/>
      <w:r w:rsidRPr="001F1D83">
        <w:rPr>
          <w:rFonts w:ascii="Times New Roman" w:hAnsi="Times New Roman" w:cs="Times New Roman"/>
          <w:sz w:val="24"/>
          <w:szCs w:val="24"/>
        </w:rPr>
        <w:t>P, 2013.</w:t>
      </w:r>
      <w:proofErr w:type="gramEnd"/>
      <w:r w:rsidRPr="001F1D83">
        <w:rPr>
          <w:rFonts w:ascii="Times New Roman" w:hAnsi="Times New Roman" w:cs="Times New Roman"/>
          <w:sz w:val="24"/>
          <w:szCs w:val="24"/>
        </w:rPr>
        <w:t xml:space="preserve"> </w:t>
      </w:r>
      <w:proofErr w:type="spellStart"/>
      <w:proofErr w:type="gramStart"/>
      <w:r w:rsidRPr="001F1D83">
        <w:rPr>
          <w:rFonts w:ascii="Times New Roman" w:hAnsi="Times New Roman" w:cs="Times New Roman"/>
          <w:sz w:val="24"/>
          <w:szCs w:val="24"/>
        </w:rPr>
        <w:t>Sharia</w:t>
      </w:r>
      <w:proofErr w:type="spellEnd"/>
      <w:r w:rsidRPr="001F1D83">
        <w:rPr>
          <w:rFonts w:ascii="Times New Roman" w:hAnsi="Times New Roman" w:cs="Times New Roman"/>
          <w:sz w:val="24"/>
          <w:szCs w:val="24"/>
        </w:rPr>
        <w:t xml:space="preserve"> Bank Transactions.</w:t>
      </w:r>
      <w:proofErr w:type="gramEnd"/>
      <w:r w:rsidRPr="001F1D83">
        <w:rPr>
          <w:rFonts w:ascii="Times New Roman" w:hAnsi="Times New Roman" w:cs="Times New Roman"/>
          <w:sz w:val="24"/>
          <w:szCs w:val="24"/>
        </w:rPr>
        <w:t xml:space="preserve"> Jakarta: PT. Earth Literacy.</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proofErr w:type="gramStart"/>
      <w:r w:rsidRPr="001F1D83">
        <w:rPr>
          <w:rFonts w:ascii="Times New Roman" w:hAnsi="Times New Roman" w:cs="Times New Roman"/>
          <w:sz w:val="24"/>
          <w:szCs w:val="24"/>
        </w:rPr>
        <w:t>Wangsawadjaja</w:t>
      </w:r>
      <w:proofErr w:type="spellEnd"/>
      <w:r w:rsidRPr="001F1D83">
        <w:rPr>
          <w:rFonts w:ascii="Times New Roman" w:hAnsi="Times New Roman" w:cs="Times New Roman"/>
          <w:sz w:val="24"/>
          <w:szCs w:val="24"/>
        </w:rPr>
        <w:t>, 2012.</w:t>
      </w:r>
      <w:proofErr w:type="gramEnd"/>
      <w:r w:rsidRPr="001F1D83">
        <w:rPr>
          <w:rFonts w:ascii="Times New Roman" w:hAnsi="Times New Roman" w:cs="Times New Roman"/>
          <w:sz w:val="24"/>
          <w:szCs w:val="24"/>
        </w:rPr>
        <w:t xml:space="preserve"> </w:t>
      </w:r>
      <w:proofErr w:type="spellStart"/>
      <w:proofErr w:type="gramStart"/>
      <w:r w:rsidRPr="001F1D83">
        <w:rPr>
          <w:rFonts w:ascii="Times New Roman" w:hAnsi="Times New Roman" w:cs="Times New Roman"/>
          <w:sz w:val="24"/>
          <w:szCs w:val="24"/>
        </w:rPr>
        <w:t>Sharia</w:t>
      </w:r>
      <w:proofErr w:type="spellEnd"/>
      <w:r w:rsidRPr="001F1D83">
        <w:rPr>
          <w:rFonts w:ascii="Times New Roman" w:hAnsi="Times New Roman" w:cs="Times New Roman"/>
          <w:sz w:val="24"/>
          <w:szCs w:val="24"/>
        </w:rPr>
        <w:t xml:space="preserve"> Bank Financing.</w:t>
      </w:r>
      <w:proofErr w:type="gram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Jakart</w:t>
      </w:r>
      <w:proofErr w:type="spellEnd"/>
      <w:r w:rsidRPr="001F1D83">
        <w:rPr>
          <w:rFonts w:ascii="Times New Roman" w:hAnsi="Times New Roman" w:cs="Times New Roman"/>
          <w:sz w:val="24"/>
          <w:szCs w:val="24"/>
        </w:rPr>
        <w:t xml:space="preserve">: PT </w:t>
      </w:r>
      <w:proofErr w:type="spellStart"/>
      <w:r w:rsidRPr="001F1D83">
        <w:rPr>
          <w:rFonts w:ascii="Times New Roman" w:hAnsi="Times New Roman" w:cs="Times New Roman"/>
          <w:sz w:val="24"/>
          <w:szCs w:val="24"/>
        </w:rPr>
        <w:t>Gremedia</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Pustaka</w:t>
      </w:r>
      <w:proofErr w:type="spellEnd"/>
      <w:r w:rsidRPr="001F1D83">
        <w:rPr>
          <w:rFonts w:ascii="Times New Roman" w:hAnsi="Times New Roman" w:cs="Times New Roman"/>
          <w:sz w:val="24"/>
          <w:szCs w:val="24"/>
        </w:rPr>
        <w:t xml:space="preserve"> </w:t>
      </w:r>
      <w:proofErr w:type="spellStart"/>
      <w:r w:rsidRPr="001F1D83">
        <w:rPr>
          <w:rFonts w:ascii="Times New Roman" w:hAnsi="Times New Roman" w:cs="Times New Roman"/>
          <w:sz w:val="24"/>
          <w:szCs w:val="24"/>
        </w:rPr>
        <w:t>Utama</w:t>
      </w:r>
      <w:proofErr w:type="spellEnd"/>
      <w:r w:rsidRPr="001F1D83">
        <w:rPr>
          <w:rFonts w:ascii="Times New Roman" w:hAnsi="Times New Roman" w:cs="Times New Roman"/>
          <w:sz w:val="24"/>
          <w:szCs w:val="24"/>
        </w:rPr>
        <w:t>.</w:t>
      </w:r>
    </w:p>
    <w:p w:rsidR="001F1D83" w:rsidRPr="001F1D83" w:rsidRDefault="001F1D83" w:rsidP="001F1D83">
      <w:pPr>
        <w:spacing w:line="240" w:lineRule="auto"/>
        <w:ind w:left="720" w:hanging="630"/>
        <w:jc w:val="both"/>
        <w:rPr>
          <w:rFonts w:ascii="Times New Roman" w:hAnsi="Times New Roman" w:cs="Times New Roman"/>
          <w:sz w:val="24"/>
          <w:szCs w:val="24"/>
        </w:rPr>
      </w:pPr>
      <w:proofErr w:type="spellStart"/>
      <w:r w:rsidRPr="001F1D83">
        <w:rPr>
          <w:rFonts w:ascii="Times New Roman" w:hAnsi="Times New Roman" w:cs="Times New Roman"/>
          <w:sz w:val="24"/>
          <w:szCs w:val="24"/>
        </w:rPr>
        <w:t>Yaya</w:t>
      </w:r>
      <w:proofErr w:type="spellEnd"/>
      <w:r w:rsidRPr="001F1D83">
        <w:rPr>
          <w:rFonts w:ascii="Times New Roman" w:hAnsi="Times New Roman" w:cs="Times New Roman"/>
          <w:sz w:val="24"/>
          <w:szCs w:val="24"/>
        </w:rPr>
        <w:t xml:space="preserve">, R., et al. 2014. Islamic Banking Accounting: Contemporary Theory and Practice. </w:t>
      </w:r>
      <w:proofErr w:type="gramStart"/>
      <w:r w:rsidRPr="001F1D83">
        <w:rPr>
          <w:rFonts w:ascii="Times New Roman" w:hAnsi="Times New Roman" w:cs="Times New Roman"/>
          <w:sz w:val="24"/>
          <w:szCs w:val="24"/>
        </w:rPr>
        <w:t>Second edition.</w:t>
      </w:r>
      <w:proofErr w:type="gramEnd"/>
      <w:r w:rsidRPr="001F1D83">
        <w:rPr>
          <w:rFonts w:ascii="Times New Roman" w:hAnsi="Times New Roman" w:cs="Times New Roman"/>
          <w:sz w:val="24"/>
          <w:szCs w:val="24"/>
        </w:rPr>
        <w:t xml:space="preserve"> Jakarta: Four </w:t>
      </w:r>
      <w:proofErr w:type="spellStart"/>
      <w:r w:rsidRPr="001F1D83">
        <w:rPr>
          <w:rFonts w:ascii="Times New Roman" w:hAnsi="Times New Roman" w:cs="Times New Roman"/>
          <w:sz w:val="24"/>
          <w:szCs w:val="24"/>
        </w:rPr>
        <w:t>salemba</w:t>
      </w:r>
      <w:proofErr w:type="spellEnd"/>
      <w:r w:rsidRPr="001F1D83">
        <w:rPr>
          <w:rFonts w:ascii="Times New Roman" w:hAnsi="Times New Roman" w:cs="Times New Roman"/>
          <w:sz w:val="24"/>
          <w:szCs w:val="24"/>
        </w:rPr>
        <w:t>.</w:t>
      </w:r>
    </w:p>
    <w:p w:rsidR="00FA0D33" w:rsidRPr="001F1D83" w:rsidRDefault="00FA0D33" w:rsidP="001F1D83">
      <w:pPr>
        <w:spacing w:line="240" w:lineRule="auto"/>
        <w:rPr>
          <w:sz w:val="24"/>
          <w:szCs w:val="24"/>
        </w:rPr>
      </w:pPr>
    </w:p>
    <w:sectPr w:rsidR="00FA0D33" w:rsidRPr="001F1D83" w:rsidSect="001F1D83">
      <w:headerReference w:type="default" r:id="rId14"/>
      <w:footerReference w:type="default" r:id="rId15"/>
      <w:pgSz w:w="11907" w:h="16839" w:code="9"/>
      <w:pgMar w:top="1440" w:right="1440" w:bottom="1440" w:left="1440" w:header="720" w:footer="720" w:gutter="0"/>
      <w:pgNumType w:start="1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1A" w:rsidRDefault="00C2111A" w:rsidP="00251779">
      <w:pPr>
        <w:spacing w:after="0" w:line="240" w:lineRule="auto"/>
      </w:pPr>
      <w:r>
        <w:separator/>
      </w:r>
    </w:p>
  </w:endnote>
  <w:endnote w:type="continuationSeparator" w:id="0">
    <w:p w:rsidR="00C2111A" w:rsidRDefault="00C2111A"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C00761"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4E1C38" w:rsidRPr="004E1C38">
            <w:rPr>
              <w:noProof/>
              <w:color w:val="FFFFFF"/>
              <w:sz w:val="20"/>
            </w:rPr>
            <w:t>178</w:t>
          </w:r>
          <w:r w:rsidRPr="005764B9">
            <w:rPr>
              <w:sz w:val="20"/>
            </w:rPr>
            <w:fldChar w:fldCharType="end"/>
          </w:r>
        </w:p>
      </w:tc>
      <w:tc>
        <w:tcPr>
          <w:tcW w:w="4500" w:type="pct"/>
          <w:tcBorders>
            <w:top w:val="single" w:sz="4" w:space="0" w:color="auto"/>
          </w:tcBorders>
        </w:tcPr>
        <w:p w:rsidR="00251779" w:rsidRPr="00E1253D" w:rsidRDefault="00251779" w:rsidP="00E1253D">
          <w:pPr>
            <w:widowControl w:val="0"/>
            <w:spacing w:after="0"/>
            <w:rPr>
              <w:rFonts w:eastAsia="Calibri"/>
              <w:b/>
              <w:bCs/>
              <w:i/>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1A" w:rsidRDefault="00C2111A" w:rsidP="00251779">
      <w:pPr>
        <w:spacing w:after="0" w:line="240" w:lineRule="auto"/>
      </w:pPr>
      <w:r>
        <w:separator/>
      </w:r>
    </w:p>
  </w:footnote>
  <w:footnote w:type="continuationSeparator" w:id="0">
    <w:p w:rsidR="00C2111A" w:rsidRDefault="00C2111A"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C00761"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7646F0"/>
    <w:multiLevelType w:val="hybridMultilevel"/>
    <w:tmpl w:val="B476AD5A"/>
    <w:lvl w:ilvl="0" w:tplc="AE628124">
      <w:start w:val="1"/>
      <w:numFmt w:val="decimal"/>
      <w:lvlText w:val="(%1)"/>
      <w:lvlJc w:val="left"/>
      <w:pPr>
        <w:ind w:left="630" w:hanging="360"/>
      </w:pPr>
      <w:rPr>
        <w:rFonts w:ascii="Arial" w:hAnsi="Arial" w:cs="Arial" w:hint="default"/>
        <w:color w:val="222222"/>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5C13751"/>
    <w:multiLevelType w:val="hybridMultilevel"/>
    <w:tmpl w:val="9CC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5">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C5579"/>
    <w:multiLevelType w:val="hybridMultilevel"/>
    <w:tmpl w:val="8B46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CBF696F"/>
    <w:multiLevelType w:val="hybridMultilevel"/>
    <w:tmpl w:val="C986B6E2"/>
    <w:lvl w:ilvl="0" w:tplc="76B0B62A">
      <w:start w:val="1"/>
      <w:numFmt w:val="lowerLetter"/>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F2407"/>
    <w:multiLevelType w:val="hybridMultilevel"/>
    <w:tmpl w:val="A092A3B4"/>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913A83"/>
    <w:multiLevelType w:val="hybridMultilevel"/>
    <w:tmpl w:val="D868D138"/>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3D995E29"/>
    <w:multiLevelType w:val="hybridMultilevel"/>
    <w:tmpl w:val="6A3298A2"/>
    <w:lvl w:ilvl="0" w:tplc="D1AC2E9C">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7">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562C37"/>
    <w:multiLevelType w:val="hybridMultilevel"/>
    <w:tmpl w:val="DF0EB2F0"/>
    <w:lvl w:ilvl="0" w:tplc="8E4A16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31">
    <w:nsid w:val="532B57CD"/>
    <w:multiLevelType w:val="hybridMultilevel"/>
    <w:tmpl w:val="3F0C0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33">
    <w:nsid w:val="57661F51"/>
    <w:multiLevelType w:val="hybridMultilevel"/>
    <w:tmpl w:val="348AE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E1D81"/>
    <w:multiLevelType w:val="hybridMultilevel"/>
    <w:tmpl w:val="4FBC37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5E911E8C"/>
    <w:multiLevelType w:val="hybridMultilevel"/>
    <w:tmpl w:val="29FC320C"/>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B5B44"/>
    <w:multiLevelType w:val="hybridMultilevel"/>
    <w:tmpl w:val="9CC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8D2CD5"/>
    <w:multiLevelType w:val="hybridMultilevel"/>
    <w:tmpl w:val="2D709FF2"/>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2">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6"/>
  </w:num>
  <w:num w:numId="2">
    <w:abstractNumId w:val="14"/>
  </w:num>
  <w:num w:numId="3">
    <w:abstractNumId w:val="4"/>
  </w:num>
  <w:num w:numId="4">
    <w:abstractNumId w:val="25"/>
  </w:num>
  <w:num w:numId="5">
    <w:abstractNumId w:val="45"/>
  </w:num>
  <w:num w:numId="6">
    <w:abstractNumId w:val="30"/>
  </w:num>
  <w:num w:numId="7">
    <w:abstractNumId w:val="32"/>
  </w:num>
  <w:num w:numId="8">
    <w:abstractNumId w:val="2"/>
  </w:num>
  <w:num w:numId="9">
    <w:abstractNumId w:val="8"/>
  </w:num>
  <w:num w:numId="10">
    <w:abstractNumId w:val="13"/>
  </w:num>
  <w:num w:numId="11">
    <w:abstractNumId w:val="34"/>
  </w:num>
  <w:num w:numId="12">
    <w:abstractNumId w:val="17"/>
  </w:num>
  <w:num w:numId="13">
    <w:abstractNumId w:val="4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1"/>
  </w:num>
  <w:num w:numId="17">
    <w:abstractNumId w:val="12"/>
  </w:num>
  <w:num w:numId="18">
    <w:abstractNumId w:val="7"/>
  </w:num>
  <w:num w:numId="19">
    <w:abstractNumId w:val="10"/>
  </w:num>
  <w:num w:numId="20">
    <w:abstractNumId w:val="27"/>
  </w:num>
  <w:num w:numId="21">
    <w:abstractNumId w:val="9"/>
  </w:num>
  <w:num w:numId="22">
    <w:abstractNumId w:val="35"/>
  </w:num>
  <w:num w:numId="23">
    <w:abstractNumId w:val="43"/>
  </w:num>
  <w:num w:numId="24">
    <w:abstractNumId w:val="42"/>
  </w:num>
  <w:num w:numId="25">
    <w:abstractNumId w:val="15"/>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20"/>
  </w:num>
  <w:num w:numId="29">
    <w:abstractNumId w:val="28"/>
  </w:num>
  <w:num w:numId="30">
    <w:abstractNumId w:val="23"/>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3"/>
  </w:num>
  <w:num w:numId="35">
    <w:abstractNumId w:val="16"/>
  </w:num>
  <w:num w:numId="36">
    <w:abstractNumId w:val="37"/>
  </w:num>
  <w:num w:numId="37">
    <w:abstractNumId w:val="11"/>
  </w:num>
  <w:num w:numId="38">
    <w:abstractNumId w:val="39"/>
  </w:num>
  <w:num w:numId="39">
    <w:abstractNumId w:val="24"/>
  </w:num>
  <w:num w:numId="40">
    <w:abstractNumId w:val="29"/>
  </w:num>
  <w:num w:numId="41">
    <w:abstractNumId w:val="21"/>
  </w:num>
  <w:num w:numId="42">
    <w:abstractNumId w:val="38"/>
  </w:num>
  <w:num w:numId="43">
    <w:abstractNumId w:val="31"/>
  </w:num>
  <w:num w:numId="44">
    <w:abstractNumId w:val="6"/>
  </w:num>
  <w:num w:numId="45">
    <w:abstractNumId w:val="40"/>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75F40"/>
    <w:rsid w:val="000826D1"/>
    <w:rsid w:val="000B6BA8"/>
    <w:rsid w:val="000C5450"/>
    <w:rsid w:val="000D136F"/>
    <w:rsid w:val="00124599"/>
    <w:rsid w:val="001A4955"/>
    <w:rsid w:val="001B0F41"/>
    <w:rsid w:val="001C3C35"/>
    <w:rsid w:val="001E37CB"/>
    <w:rsid w:val="001F1D83"/>
    <w:rsid w:val="00215379"/>
    <w:rsid w:val="00234C52"/>
    <w:rsid w:val="002503A8"/>
    <w:rsid w:val="00251779"/>
    <w:rsid w:val="00260011"/>
    <w:rsid w:val="00287CC5"/>
    <w:rsid w:val="00297067"/>
    <w:rsid w:val="002C6839"/>
    <w:rsid w:val="002C692D"/>
    <w:rsid w:val="002D3E18"/>
    <w:rsid w:val="002F19A5"/>
    <w:rsid w:val="00315DC8"/>
    <w:rsid w:val="00324FC0"/>
    <w:rsid w:val="00325195"/>
    <w:rsid w:val="0035379A"/>
    <w:rsid w:val="00393C8C"/>
    <w:rsid w:val="00395728"/>
    <w:rsid w:val="00404D01"/>
    <w:rsid w:val="00426354"/>
    <w:rsid w:val="0044342A"/>
    <w:rsid w:val="00447633"/>
    <w:rsid w:val="004522E1"/>
    <w:rsid w:val="00452831"/>
    <w:rsid w:val="00463EB5"/>
    <w:rsid w:val="00470355"/>
    <w:rsid w:val="004A2119"/>
    <w:rsid w:val="004E1C38"/>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4AF5"/>
    <w:rsid w:val="00666E61"/>
    <w:rsid w:val="00677AC4"/>
    <w:rsid w:val="006A6C32"/>
    <w:rsid w:val="006B1858"/>
    <w:rsid w:val="006F6C60"/>
    <w:rsid w:val="007451BD"/>
    <w:rsid w:val="00750617"/>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A01A8"/>
    <w:rsid w:val="009B0BC2"/>
    <w:rsid w:val="009B70A9"/>
    <w:rsid w:val="009C2EB0"/>
    <w:rsid w:val="009D6021"/>
    <w:rsid w:val="009E4241"/>
    <w:rsid w:val="009E704E"/>
    <w:rsid w:val="00A033CA"/>
    <w:rsid w:val="00A371E9"/>
    <w:rsid w:val="00A4273D"/>
    <w:rsid w:val="00A44169"/>
    <w:rsid w:val="00A76DDF"/>
    <w:rsid w:val="00A82540"/>
    <w:rsid w:val="00AC5E18"/>
    <w:rsid w:val="00AD060B"/>
    <w:rsid w:val="00B001BF"/>
    <w:rsid w:val="00B21F67"/>
    <w:rsid w:val="00B535E6"/>
    <w:rsid w:val="00B81416"/>
    <w:rsid w:val="00BA7AC8"/>
    <w:rsid w:val="00BC1613"/>
    <w:rsid w:val="00BC3FA8"/>
    <w:rsid w:val="00BD32AD"/>
    <w:rsid w:val="00C00761"/>
    <w:rsid w:val="00C01CF0"/>
    <w:rsid w:val="00C17043"/>
    <w:rsid w:val="00C2111A"/>
    <w:rsid w:val="00C419C0"/>
    <w:rsid w:val="00C45673"/>
    <w:rsid w:val="00C56965"/>
    <w:rsid w:val="00C8212D"/>
    <w:rsid w:val="00C92957"/>
    <w:rsid w:val="00CE272D"/>
    <w:rsid w:val="00CF095E"/>
    <w:rsid w:val="00D212BF"/>
    <w:rsid w:val="00D71E26"/>
    <w:rsid w:val="00DB72E6"/>
    <w:rsid w:val="00DC1875"/>
    <w:rsid w:val="00DC28DB"/>
    <w:rsid w:val="00DC6678"/>
    <w:rsid w:val="00DE6780"/>
    <w:rsid w:val="00DF7963"/>
    <w:rsid w:val="00E12193"/>
    <w:rsid w:val="00E1253D"/>
    <w:rsid w:val="00E2177A"/>
    <w:rsid w:val="00E64596"/>
    <w:rsid w:val="00E70875"/>
    <w:rsid w:val="00ED5497"/>
    <w:rsid w:val="00EE3ADB"/>
    <w:rsid w:val="00EF57B0"/>
    <w:rsid w:val="00F032CE"/>
    <w:rsid w:val="00F129F2"/>
    <w:rsid w:val="00F3325A"/>
    <w:rsid w:val="00F41161"/>
    <w:rsid w:val="00F443A0"/>
    <w:rsid w:val="00F460D4"/>
    <w:rsid w:val="00F622E2"/>
    <w:rsid w:val="00F633F8"/>
    <w:rsid w:val="00FA0D33"/>
    <w:rsid w:val="00FA26D2"/>
    <w:rsid w:val="00FD4377"/>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customStyle="1" w:styleId="Style2">
    <w:name w:val="Style2"/>
    <w:basedOn w:val="Normal"/>
    <w:rsid w:val="00ED5497"/>
    <w:pPr>
      <w:widowControl w:val="0"/>
      <w:autoSpaceDE w:val="0"/>
      <w:autoSpaceDN w:val="0"/>
      <w:adjustRightInd w:val="0"/>
      <w:spacing w:after="0" w:line="480" w:lineRule="exact"/>
      <w:ind w:firstLine="710"/>
      <w:jc w:val="both"/>
    </w:pPr>
    <w:rPr>
      <w:rFonts w:ascii="Times New Roman" w:eastAsia="Times New Roman" w:hAnsi="Times New Roman" w:cs="Times New Roman"/>
      <w:sz w:val="24"/>
      <w:szCs w:val="24"/>
    </w:rPr>
  </w:style>
  <w:style w:type="character" w:customStyle="1" w:styleId="FontStyle22">
    <w:name w:val="Font Style22"/>
    <w:basedOn w:val="DefaultParagraphFont"/>
    <w:rsid w:val="00ED5497"/>
    <w:rPr>
      <w:rFonts w:ascii="Times New Roman" w:hAnsi="Times New Roman" w:cs="Times New Roman"/>
      <w:sz w:val="26"/>
      <w:szCs w:val="26"/>
    </w:rPr>
  </w:style>
  <w:style w:type="character" w:styleId="FootnoteReference">
    <w:name w:val="footnote reference"/>
    <w:basedOn w:val="DefaultParagraphFont"/>
    <w:uiPriority w:val="99"/>
    <w:semiHidden/>
    <w:unhideWhenUsed/>
    <w:rsid w:val="009B70A9"/>
    <w:rPr>
      <w:vertAlign w:val="superscript"/>
    </w:rPr>
  </w:style>
  <w:style w:type="paragraph" w:styleId="FootnoteText">
    <w:name w:val="footnote text"/>
    <w:basedOn w:val="Normal"/>
    <w:link w:val="FootnoteTextChar"/>
    <w:uiPriority w:val="99"/>
    <w:semiHidden/>
    <w:unhideWhenUsed/>
    <w:rsid w:val="009B0BC2"/>
    <w:pPr>
      <w:spacing w:after="0" w:line="240" w:lineRule="auto"/>
    </w:pPr>
    <w:rPr>
      <w:sz w:val="20"/>
      <w:szCs w:val="20"/>
      <w:lang w:val="ru-RU"/>
    </w:rPr>
  </w:style>
  <w:style w:type="character" w:customStyle="1" w:styleId="FootnoteTextChar">
    <w:name w:val="Footnote Text Char"/>
    <w:basedOn w:val="DefaultParagraphFont"/>
    <w:link w:val="FootnoteText"/>
    <w:uiPriority w:val="99"/>
    <w:semiHidden/>
    <w:rsid w:val="009B0BC2"/>
    <w:rPr>
      <w:sz w:val="20"/>
      <w:szCs w:val="20"/>
      <w:lang w:val="ru-RU"/>
    </w:rPr>
  </w:style>
  <w:style w:type="character" w:customStyle="1" w:styleId="word">
    <w:name w:val="word"/>
    <w:basedOn w:val="DefaultParagraphFont"/>
    <w:rsid w:val="00E12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rmahhalimah@gmail.com"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ela.elliyana_0910108204@uit.ac.id"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mailto:4rabiebenyahia33@yahoo.com" TargetMode="External"/><Relationship Id="rId4" Type="http://schemas.openxmlformats.org/officeDocument/2006/relationships/webSettings" Target="webSettings.xml"/><Relationship Id="rId9" Type="http://schemas.openxmlformats.org/officeDocument/2006/relationships/hyperlink" Target="mailto:3putrinoor@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fixx.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fix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id-ID"/>
          </a:pPr>
          <a:endParaRPr lang="en-US"/>
        </a:p>
      </c:txPr>
    </c:title>
    <c:plotArea>
      <c:layout/>
      <c:lineChart>
        <c:grouping val="standard"/>
        <c:ser>
          <c:idx val="0"/>
          <c:order val="0"/>
          <c:tx>
            <c:strRef>
              <c:f>Sheet1!$H$33</c:f>
              <c:strCache>
                <c:ptCount val="1"/>
                <c:pt idx="0">
                  <c:v>FDR(%)</c:v>
                </c:pt>
              </c:strCache>
            </c:strRef>
          </c:tx>
          <c:cat>
            <c:numRef>
              <c:f>Sheet1!$G$34:$G$37</c:f>
              <c:numCache>
                <c:formatCode>General</c:formatCode>
                <c:ptCount val="4"/>
                <c:pt idx="0">
                  <c:v>2015</c:v>
                </c:pt>
                <c:pt idx="1">
                  <c:v>2016</c:v>
                </c:pt>
                <c:pt idx="2">
                  <c:v>2017</c:v>
                </c:pt>
                <c:pt idx="3">
                  <c:v>2018</c:v>
                </c:pt>
              </c:numCache>
            </c:numRef>
          </c:cat>
          <c:val>
            <c:numRef>
              <c:f>Sheet1!$H$34:$H$37</c:f>
              <c:numCache>
                <c:formatCode>General</c:formatCode>
                <c:ptCount val="4"/>
                <c:pt idx="0">
                  <c:v>84.78</c:v>
                </c:pt>
                <c:pt idx="1">
                  <c:v>82.03</c:v>
                </c:pt>
                <c:pt idx="2">
                  <c:v>72.75</c:v>
                </c:pt>
                <c:pt idx="3">
                  <c:v>75.739999999999995</c:v>
                </c:pt>
              </c:numCache>
            </c:numRef>
          </c:val>
        </c:ser>
        <c:marker val="1"/>
        <c:axId val="80226560"/>
        <c:axId val="81683584"/>
      </c:lineChart>
      <c:catAx>
        <c:axId val="80226560"/>
        <c:scaling>
          <c:orientation val="minMax"/>
        </c:scaling>
        <c:axPos val="b"/>
        <c:numFmt formatCode="General" sourceLinked="1"/>
        <c:tickLblPos val="nextTo"/>
        <c:txPr>
          <a:bodyPr/>
          <a:lstStyle/>
          <a:p>
            <a:pPr>
              <a:defRPr lang="id-ID"/>
            </a:pPr>
            <a:endParaRPr lang="en-US"/>
          </a:p>
        </c:txPr>
        <c:crossAx val="81683584"/>
        <c:crosses val="autoZero"/>
        <c:auto val="1"/>
        <c:lblAlgn val="ctr"/>
        <c:lblOffset val="100"/>
      </c:catAx>
      <c:valAx>
        <c:axId val="81683584"/>
        <c:scaling>
          <c:orientation val="minMax"/>
        </c:scaling>
        <c:axPos val="l"/>
        <c:majorGridlines/>
        <c:numFmt formatCode="General" sourceLinked="1"/>
        <c:tickLblPos val="nextTo"/>
        <c:txPr>
          <a:bodyPr/>
          <a:lstStyle/>
          <a:p>
            <a:pPr>
              <a:defRPr lang="id-ID"/>
            </a:pPr>
            <a:endParaRPr lang="en-US"/>
          </a:p>
        </c:txPr>
        <c:crossAx val="80226560"/>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id-ID"/>
          </a:pPr>
          <a:endParaRPr lang="en-US"/>
        </a:p>
      </c:txPr>
    </c:title>
    <c:plotArea>
      <c:layout/>
      <c:lineChart>
        <c:grouping val="stacked"/>
        <c:ser>
          <c:idx val="0"/>
          <c:order val="0"/>
          <c:tx>
            <c:strRef>
              <c:f>Sheet1!$B$1</c:f>
              <c:strCache>
                <c:ptCount val="1"/>
                <c:pt idx="0">
                  <c:v>FAR (%)</c:v>
                </c:pt>
              </c:strCache>
            </c:strRef>
          </c:tx>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68.75</c:v>
                </c:pt>
                <c:pt idx="1">
                  <c:v>65.14</c:v>
                </c:pt>
                <c:pt idx="2">
                  <c:v>60.27</c:v>
                </c:pt>
                <c:pt idx="3">
                  <c:v>57.660000000000011</c:v>
                </c:pt>
              </c:numCache>
            </c:numRef>
          </c:val>
        </c:ser>
        <c:marker val="1"/>
        <c:axId val="55341056"/>
        <c:axId val="55342592"/>
      </c:lineChart>
      <c:catAx>
        <c:axId val="55341056"/>
        <c:scaling>
          <c:orientation val="minMax"/>
        </c:scaling>
        <c:axPos val="b"/>
        <c:numFmt formatCode="General" sourceLinked="1"/>
        <c:tickLblPos val="nextTo"/>
        <c:txPr>
          <a:bodyPr/>
          <a:lstStyle/>
          <a:p>
            <a:pPr>
              <a:defRPr lang="id-ID"/>
            </a:pPr>
            <a:endParaRPr lang="en-US"/>
          </a:p>
        </c:txPr>
        <c:crossAx val="55342592"/>
        <c:crosses val="autoZero"/>
        <c:auto val="1"/>
        <c:lblAlgn val="ctr"/>
        <c:lblOffset val="100"/>
      </c:catAx>
      <c:valAx>
        <c:axId val="55342592"/>
        <c:scaling>
          <c:orientation val="minMax"/>
        </c:scaling>
        <c:axPos val="l"/>
        <c:majorGridlines/>
        <c:numFmt formatCode="General" sourceLinked="1"/>
        <c:tickLblPos val="nextTo"/>
        <c:txPr>
          <a:bodyPr/>
          <a:lstStyle/>
          <a:p>
            <a:pPr>
              <a:defRPr lang="id-ID"/>
            </a:pPr>
            <a:endParaRPr lang="en-US"/>
          </a:p>
        </c:txPr>
        <c:crossAx val="55341056"/>
        <c:crosses val="autoZero"/>
        <c:crossBetween val="between"/>
      </c:valAx>
    </c:plotArea>
    <c:legend>
      <c:legendPos val="r"/>
      <c:txPr>
        <a:bodyPr/>
        <a:lstStyle/>
        <a:p>
          <a:pPr>
            <a:defRPr lang="id-ID"/>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id-ID"/>
          </a:pPr>
          <a:endParaRPr lang="en-US"/>
        </a:p>
      </c:txPr>
    </c:title>
    <c:plotArea>
      <c:layout/>
      <c:lineChart>
        <c:grouping val="standard"/>
        <c:ser>
          <c:idx val="0"/>
          <c:order val="0"/>
          <c:tx>
            <c:strRef>
              <c:f>Sheet1!$J$26</c:f>
              <c:strCache>
                <c:ptCount val="1"/>
                <c:pt idx="0">
                  <c:v>NPF(%)</c:v>
                </c:pt>
              </c:strCache>
            </c:strRef>
          </c:tx>
          <c:cat>
            <c:numRef>
              <c:f>Sheet1!$I$27:$I$30</c:f>
              <c:numCache>
                <c:formatCode>General</c:formatCode>
                <c:ptCount val="4"/>
                <c:pt idx="0">
                  <c:v>2015</c:v>
                </c:pt>
                <c:pt idx="1">
                  <c:v>2016</c:v>
                </c:pt>
                <c:pt idx="2">
                  <c:v>2017</c:v>
                </c:pt>
                <c:pt idx="3">
                  <c:v>2018</c:v>
                </c:pt>
              </c:numCache>
            </c:numRef>
          </c:cat>
          <c:val>
            <c:numRef>
              <c:f>Sheet1!$J$27:$J$30</c:f>
              <c:numCache>
                <c:formatCode>General</c:formatCode>
                <c:ptCount val="4"/>
                <c:pt idx="0">
                  <c:v>7.74</c:v>
                </c:pt>
                <c:pt idx="1">
                  <c:v>4.9300000000000024</c:v>
                </c:pt>
                <c:pt idx="2">
                  <c:v>4.1499999999999995</c:v>
                </c:pt>
                <c:pt idx="3">
                  <c:v>3.61</c:v>
                </c:pt>
              </c:numCache>
            </c:numRef>
          </c:val>
        </c:ser>
        <c:marker val="1"/>
        <c:axId val="55395456"/>
        <c:axId val="55396992"/>
      </c:lineChart>
      <c:catAx>
        <c:axId val="55395456"/>
        <c:scaling>
          <c:orientation val="minMax"/>
        </c:scaling>
        <c:axPos val="b"/>
        <c:numFmt formatCode="General" sourceLinked="1"/>
        <c:tickLblPos val="nextTo"/>
        <c:txPr>
          <a:bodyPr/>
          <a:lstStyle/>
          <a:p>
            <a:pPr>
              <a:defRPr lang="id-ID"/>
            </a:pPr>
            <a:endParaRPr lang="en-US"/>
          </a:p>
        </c:txPr>
        <c:crossAx val="55396992"/>
        <c:crosses val="autoZero"/>
        <c:auto val="1"/>
        <c:lblAlgn val="ctr"/>
        <c:lblOffset val="100"/>
      </c:catAx>
      <c:valAx>
        <c:axId val="55396992"/>
        <c:scaling>
          <c:orientation val="minMax"/>
        </c:scaling>
        <c:axPos val="l"/>
        <c:majorGridlines/>
        <c:numFmt formatCode="General" sourceLinked="1"/>
        <c:tickLblPos val="nextTo"/>
        <c:txPr>
          <a:bodyPr/>
          <a:lstStyle/>
          <a:p>
            <a:pPr>
              <a:defRPr lang="id-ID"/>
            </a:pPr>
            <a:endParaRPr lang="en-US"/>
          </a:p>
        </c:txPr>
        <c:crossAx val="55395456"/>
        <c:crosses val="autoZero"/>
        <c:crossBetween val="between"/>
      </c:valAx>
    </c:plotArea>
    <c:legend>
      <c:legendPos val="r"/>
      <c:txPr>
        <a:bodyPr/>
        <a:lstStyle/>
        <a:p>
          <a:pPr>
            <a:defRPr lang="id-ID"/>
          </a:pPr>
          <a:endParaRPr lang="en-US"/>
        </a:p>
      </c:txP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Enque</dc:creator>
  <cp:lastModifiedBy>Delcanimoff</cp:lastModifiedBy>
  <cp:revision>4</cp:revision>
  <cp:lastPrinted>2020-05-06T21:20:00Z</cp:lastPrinted>
  <dcterms:created xsi:type="dcterms:W3CDTF">2020-05-19T22:55:00Z</dcterms:created>
  <dcterms:modified xsi:type="dcterms:W3CDTF">2020-05-19T23:06:00Z</dcterms:modified>
</cp:coreProperties>
</file>